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A6" w:rsidRPr="001A32A6" w:rsidRDefault="001A32A6" w:rsidP="001A32A6">
      <w:pPr>
        <w:widowControl w:val="0"/>
        <w:autoSpaceDE w:val="0"/>
        <w:autoSpaceDN w:val="0"/>
        <w:spacing w:before="68" w:after="0" w:line="240" w:lineRule="auto"/>
        <w:ind w:left="6337" w:right="750" w:hanging="5533"/>
        <w:rPr>
          <w:rFonts w:ascii="Times New Roman" w:eastAsia="Times New Roman" w:hAnsi="Times New Roman" w:cs="Times New Roman"/>
          <w:b/>
          <w:bCs/>
          <w:sz w:val="28"/>
          <w:szCs w:val="28"/>
          <w:lang w:eastAsia="ru-RU" w:bidi="ru-RU"/>
        </w:rPr>
      </w:pPr>
      <w:r w:rsidRPr="001A32A6">
        <w:rPr>
          <w:rFonts w:ascii="Times New Roman" w:eastAsia="Times New Roman" w:hAnsi="Times New Roman" w:cs="Times New Roman"/>
          <w:b/>
          <w:bCs/>
          <w:sz w:val="28"/>
          <w:szCs w:val="28"/>
          <w:lang w:eastAsia="ru-RU" w:bidi="ru-RU"/>
        </w:rPr>
        <w:t>Предложения</w:t>
      </w:r>
      <w:r>
        <w:rPr>
          <w:rFonts w:ascii="Times New Roman" w:eastAsia="Times New Roman" w:hAnsi="Times New Roman" w:cs="Times New Roman"/>
          <w:b/>
          <w:bCs/>
          <w:sz w:val="28"/>
          <w:szCs w:val="28"/>
          <w:lang w:eastAsia="ru-RU" w:bidi="ru-RU"/>
        </w:rPr>
        <w:t xml:space="preserve"> в НОСТРОЙ </w:t>
      </w:r>
      <w:r w:rsidRPr="001A32A6">
        <w:rPr>
          <w:rFonts w:ascii="Times New Roman" w:eastAsia="Times New Roman" w:hAnsi="Times New Roman" w:cs="Times New Roman"/>
          <w:b/>
          <w:bCs/>
          <w:sz w:val="28"/>
          <w:szCs w:val="28"/>
          <w:lang w:eastAsia="ru-RU" w:bidi="ru-RU"/>
        </w:rPr>
        <w:t xml:space="preserve"> в перечень мероприятий, направленных на поддержку строительной отрасли </w:t>
      </w:r>
    </w:p>
    <w:p w:rsidR="001A32A6" w:rsidRPr="001A32A6" w:rsidRDefault="001A32A6" w:rsidP="001A32A6">
      <w:pPr>
        <w:widowControl w:val="0"/>
        <w:autoSpaceDE w:val="0"/>
        <w:autoSpaceDN w:val="0"/>
        <w:spacing w:before="10" w:after="0" w:line="240" w:lineRule="auto"/>
        <w:rPr>
          <w:rFonts w:ascii="Times New Roman" w:eastAsia="Times New Roman" w:hAnsi="Times New Roman" w:cs="Times New Roman"/>
          <w:b/>
          <w:i/>
          <w:sz w:val="28"/>
          <w:lang w:eastAsia="ru-RU" w:bidi="ru-RU"/>
        </w:rPr>
      </w:pP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t xml:space="preserve">Предложения Ассоциации "Саморегулируемая </w:t>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t>организация</w:t>
      </w:r>
      <w:r w:rsidR="00F352E1">
        <w:rPr>
          <w:rFonts w:ascii="Times New Roman" w:eastAsia="Times New Roman" w:hAnsi="Times New Roman" w:cs="Times New Roman"/>
          <w:b/>
          <w:i/>
          <w:sz w:val="28"/>
          <w:lang w:eastAsia="ru-RU" w:bidi="ru-RU"/>
        </w:rPr>
        <w:t xml:space="preserve"> </w:t>
      </w:r>
      <w:bookmarkStart w:id="0" w:name="_GoBack"/>
      <w:bookmarkEnd w:id="0"/>
      <w:r w:rsidRPr="001A32A6">
        <w:rPr>
          <w:rFonts w:ascii="Times New Roman" w:eastAsia="Times New Roman" w:hAnsi="Times New Roman" w:cs="Times New Roman"/>
          <w:b/>
          <w:i/>
          <w:sz w:val="28"/>
          <w:lang w:eastAsia="ru-RU" w:bidi="ru-RU"/>
        </w:rPr>
        <w:t>"Союз дорожников и строителей</w:t>
      </w:r>
    </w:p>
    <w:p w:rsidR="001A32A6" w:rsidRDefault="001A32A6" w:rsidP="001A32A6">
      <w:pPr>
        <w:widowControl w:val="0"/>
        <w:autoSpaceDE w:val="0"/>
        <w:autoSpaceDN w:val="0"/>
        <w:spacing w:before="10" w:after="0" w:line="240" w:lineRule="auto"/>
        <w:rPr>
          <w:rFonts w:ascii="Times New Roman" w:eastAsia="Times New Roman" w:hAnsi="Times New Roman" w:cs="Times New Roman"/>
          <w:b/>
          <w:i/>
          <w:sz w:val="28"/>
          <w:lang w:eastAsia="ru-RU" w:bidi="ru-RU"/>
        </w:rPr>
      </w:pP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r>
      <w:r w:rsidRPr="001A32A6">
        <w:rPr>
          <w:rFonts w:ascii="Times New Roman" w:eastAsia="Times New Roman" w:hAnsi="Times New Roman" w:cs="Times New Roman"/>
          <w:b/>
          <w:i/>
          <w:sz w:val="28"/>
          <w:lang w:eastAsia="ru-RU" w:bidi="ru-RU"/>
        </w:rPr>
        <w:tab/>
        <w:t>Курской области"</w:t>
      </w:r>
    </w:p>
    <w:p w:rsidR="00D617A7" w:rsidRPr="001A32A6" w:rsidRDefault="00D617A7" w:rsidP="001A32A6">
      <w:pPr>
        <w:widowControl w:val="0"/>
        <w:autoSpaceDE w:val="0"/>
        <w:autoSpaceDN w:val="0"/>
        <w:spacing w:before="10" w:after="0" w:line="240" w:lineRule="auto"/>
        <w:rPr>
          <w:rFonts w:ascii="Times New Roman" w:eastAsia="Times New Roman" w:hAnsi="Times New Roman" w:cs="Times New Roman"/>
          <w:b/>
          <w:i/>
          <w:sz w:val="27"/>
          <w:lang w:eastAsia="ru-RU" w:bidi="ru-RU"/>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8387"/>
        <w:gridCol w:w="6605"/>
        <w:gridCol w:w="30"/>
      </w:tblGrid>
      <w:tr w:rsidR="001A32A6" w:rsidRPr="001A32A6" w:rsidTr="003D4C75">
        <w:trPr>
          <w:trHeight w:val="1077"/>
        </w:trPr>
        <w:tc>
          <w:tcPr>
            <w:tcW w:w="626" w:type="dxa"/>
            <w:shd w:val="clear" w:color="auto" w:fill="D9E1F3"/>
          </w:tcPr>
          <w:p w:rsidR="001A32A6" w:rsidRPr="001A32A6" w:rsidRDefault="001A32A6" w:rsidP="001A32A6">
            <w:pPr>
              <w:spacing w:before="52"/>
              <w:ind w:left="172"/>
              <w:rPr>
                <w:rFonts w:ascii="Times New Roman" w:eastAsia="Times New Roman" w:hAnsi="Times New Roman" w:cs="Times New Roman"/>
                <w:b/>
                <w:sz w:val="28"/>
                <w:lang w:eastAsia="ru-RU" w:bidi="ru-RU"/>
              </w:rPr>
            </w:pPr>
            <w:r w:rsidRPr="001A32A6">
              <w:rPr>
                <w:rFonts w:ascii="Times New Roman" w:eastAsia="Times New Roman" w:hAnsi="Times New Roman" w:cs="Times New Roman"/>
                <w:b/>
                <w:sz w:val="28"/>
                <w:lang w:eastAsia="ru-RU" w:bidi="ru-RU"/>
              </w:rPr>
              <w:t>№</w:t>
            </w:r>
          </w:p>
        </w:tc>
        <w:tc>
          <w:tcPr>
            <w:tcW w:w="8387" w:type="dxa"/>
            <w:shd w:val="clear" w:color="auto" w:fill="D9E1F3"/>
          </w:tcPr>
          <w:p w:rsidR="001A32A6" w:rsidRPr="001A32A6" w:rsidRDefault="001A32A6" w:rsidP="001A32A6">
            <w:pPr>
              <w:spacing w:before="52"/>
              <w:ind w:left="3316" w:right="3309"/>
              <w:jc w:val="center"/>
              <w:rPr>
                <w:rFonts w:ascii="Times New Roman" w:eastAsia="Times New Roman" w:hAnsi="Times New Roman" w:cs="Times New Roman"/>
                <w:b/>
                <w:sz w:val="28"/>
                <w:lang w:eastAsia="ru-RU" w:bidi="ru-RU"/>
              </w:rPr>
            </w:pPr>
            <w:proofErr w:type="spellStart"/>
            <w:r w:rsidRPr="001A32A6">
              <w:rPr>
                <w:rFonts w:ascii="Times New Roman" w:eastAsia="Times New Roman" w:hAnsi="Times New Roman" w:cs="Times New Roman"/>
                <w:b/>
                <w:sz w:val="28"/>
                <w:lang w:eastAsia="ru-RU" w:bidi="ru-RU"/>
              </w:rPr>
              <w:t>Предложение</w:t>
            </w:r>
            <w:proofErr w:type="spellEnd"/>
          </w:p>
        </w:tc>
        <w:tc>
          <w:tcPr>
            <w:tcW w:w="6605" w:type="dxa"/>
            <w:shd w:val="clear" w:color="auto" w:fill="D9E1F3"/>
          </w:tcPr>
          <w:p w:rsidR="001A32A6" w:rsidRPr="001A32A6" w:rsidRDefault="001A32A6" w:rsidP="001A32A6">
            <w:pPr>
              <w:spacing w:before="52"/>
              <w:ind w:left="203" w:right="197"/>
              <w:jc w:val="center"/>
              <w:rPr>
                <w:rFonts w:ascii="Times New Roman" w:eastAsia="Times New Roman" w:hAnsi="Times New Roman" w:cs="Times New Roman"/>
                <w:b/>
                <w:sz w:val="28"/>
                <w:lang w:val="ru-RU" w:eastAsia="ru-RU" w:bidi="ru-RU"/>
              </w:rPr>
            </w:pPr>
            <w:r w:rsidRPr="001A32A6">
              <w:rPr>
                <w:rFonts w:ascii="Times New Roman" w:eastAsia="Times New Roman" w:hAnsi="Times New Roman" w:cs="Times New Roman"/>
                <w:b/>
                <w:sz w:val="28"/>
                <w:lang w:val="ru-RU" w:eastAsia="ru-RU" w:bidi="ru-RU"/>
              </w:rPr>
              <w:t>Вид НПА, ФОИВ,</w:t>
            </w:r>
          </w:p>
          <w:p w:rsidR="001A32A6" w:rsidRPr="001A32A6" w:rsidRDefault="001A32A6" w:rsidP="001A32A6">
            <w:pPr>
              <w:spacing w:before="3"/>
              <w:ind w:left="343" w:right="329" w:hanging="5"/>
              <w:jc w:val="center"/>
              <w:rPr>
                <w:rFonts w:ascii="Times New Roman" w:eastAsia="Times New Roman" w:hAnsi="Times New Roman" w:cs="Times New Roman"/>
                <w:b/>
                <w:sz w:val="28"/>
                <w:lang w:val="ru-RU" w:eastAsia="ru-RU" w:bidi="ru-RU"/>
              </w:rPr>
            </w:pPr>
            <w:proofErr w:type="gramStart"/>
            <w:r w:rsidRPr="001A32A6">
              <w:rPr>
                <w:rFonts w:ascii="Times New Roman" w:eastAsia="Times New Roman" w:hAnsi="Times New Roman" w:cs="Times New Roman"/>
                <w:b/>
                <w:sz w:val="28"/>
                <w:lang w:val="ru-RU" w:eastAsia="ru-RU" w:bidi="ru-RU"/>
              </w:rPr>
              <w:t>ответственный</w:t>
            </w:r>
            <w:proofErr w:type="gramEnd"/>
            <w:r w:rsidRPr="001A32A6">
              <w:rPr>
                <w:rFonts w:ascii="Times New Roman" w:eastAsia="Times New Roman" w:hAnsi="Times New Roman" w:cs="Times New Roman"/>
                <w:b/>
                <w:sz w:val="28"/>
                <w:lang w:val="ru-RU" w:eastAsia="ru-RU" w:bidi="ru-RU"/>
              </w:rPr>
              <w:t xml:space="preserve"> за издание НПА</w:t>
            </w:r>
          </w:p>
        </w:tc>
        <w:tc>
          <w:tcPr>
            <w:tcW w:w="30" w:type="dxa"/>
            <w:shd w:val="clear" w:color="auto" w:fill="D9E1F3"/>
          </w:tcPr>
          <w:p w:rsidR="001A32A6" w:rsidRPr="001A32A6" w:rsidRDefault="001A32A6" w:rsidP="001A32A6">
            <w:pPr>
              <w:spacing w:line="318" w:lineRule="exact"/>
              <w:ind w:left="754" w:right="748"/>
              <w:jc w:val="center"/>
              <w:rPr>
                <w:rFonts w:ascii="Times New Roman" w:eastAsia="Times New Roman" w:hAnsi="Times New Roman" w:cs="Times New Roman"/>
                <w:b/>
                <w:sz w:val="28"/>
                <w:lang w:val="ru-RU" w:eastAsia="ru-RU" w:bidi="ru-RU"/>
              </w:rPr>
            </w:pPr>
          </w:p>
        </w:tc>
      </w:tr>
      <w:tr w:rsidR="001A32A6" w:rsidRPr="001A32A6" w:rsidTr="003D4C75">
        <w:trPr>
          <w:gridAfter w:val="1"/>
          <w:wAfter w:w="30" w:type="dxa"/>
          <w:trHeight w:val="421"/>
        </w:trPr>
        <w:tc>
          <w:tcPr>
            <w:tcW w:w="626" w:type="dxa"/>
            <w:shd w:val="clear" w:color="auto" w:fill="D9E1F3"/>
          </w:tcPr>
          <w:p w:rsidR="001A32A6" w:rsidRPr="001A32A6" w:rsidRDefault="001A32A6" w:rsidP="001A32A6">
            <w:pPr>
              <w:spacing w:before="43"/>
              <w:ind w:left="107"/>
              <w:rPr>
                <w:rFonts w:ascii="Times New Roman" w:eastAsia="Times New Roman" w:hAnsi="Times New Roman" w:cs="Times New Roman"/>
                <w:b/>
                <w:sz w:val="28"/>
                <w:lang w:val="ru-RU" w:eastAsia="ru-RU" w:bidi="ru-RU"/>
              </w:rPr>
            </w:pPr>
            <w:r>
              <w:rPr>
                <w:rFonts w:ascii="Times New Roman" w:eastAsia="Times New Roman" w:hAnsi="Times New Roman" w:cs="Times New Roman"/>
                <w:b/>
                <w:sz w:val="28"/>
                <w:lang w:val="ru-RU" w:eastAsia="ru-RU" w:bidi="ru-RU"/>
              </w:rPr>
              <w:t>1.</w:t>
            </w:r>
          </w:p>
        </w:tc>
        <w:tc>
          <w:tcPr>
            <w:tcW w:w="14992" w:type="dxa"/>
            <w:gridSpan w:val="2"/>
            <w:shd w:val="clear" w:color="auto" w:fill="D9E1F3"/>
          </w:tcPr>
          <w:p w:rsidR="001A32A6" w:rsidRPr="001A32A6" w:rsidRDefault="001A32A6" w:rsidP="001A32A6">
            <w:pPr>
              <w:spacing w:before="43"/>
              <w:ind w:left="108"/>
              <w:rPr>
                <w:rFonts w:ascii="Times New Roman" w:eastAsia="Times New Roman" w:hAnsi="Times New Roman" w:cs="Times New Roman"/>
                <w:b/>
                <w:sz w:val="28"/>
                <w:lang w:eastAsia="ru-RU" w:bidi="ru-RU"/>
              </w:rPr>
            </w:pPr>
            <w:proofErr w:type="spellStart"/>
            <w:r w:rsidRPr="001A32A6">
              <w:rPr>
                <w:rFonts w:ascii="Times New Roman" w:eastAsia="Times New Roman" w:hAnsi="Times New Roman" w:cs="Times New Roman"/>
                <w:b/>
                <w:sz w:val="28"/>
                <w:lang w:eastAsia="ru-RU" w:bidi="ru-RU"/>
              </w:rPr>
              <w:t>Ипотека</w:t>
            </w:r>
            <w:proofErr w:type="spellEnd"/>
          </w:p>
        </w:tc>
      </w:tr>
      <w:tr w:rsidR="001A32A6" w:rsidRPr="001A32A6" w:rsidTr="003D4C75">
        <w:trPr>
          <w:trHeight w:val="1708"/>
        </w:trPr>
        <w:tc>
          <w:tcPr>
            <w:tcW w:w="626" w:type="dxa"/>
          </w:tcPr>
          <w:p w:rsidR="001A32A6" w:rsidRPr="001A32A6" w:rsidRDefault="001A32A6" w:rsidP="001A32A6">
            <w:pPr>
              <w:spacing w:before="38"/>
              <w:ind w:left="107"/>
              <w:rPr>
                <w:rFonts w:ascii="Times New Roman" w:eastAsia="Times New Roman" w:hAnsi="Times New Roman" w:cs="Times New Roman"/>
                <w:sz w:val="28"/>
                <w:lang w:val="ru-RU" w:eastAsia="ru-RU" w:bidi="ru-RU"/>
              </w:rPr>
            </w:pPr>
            <w:r>
              <w:rPr>
                <w:rFonts w:ascii="Times New Roman" w:eastAsia="Times New Roman" w:hAnsi="Times New Roman" w:cs="Times New Roman"/>
                <w:sz w:val="28"/>
                <w:lang w:val="ru-RU" w:eastAsia="ru-RU" w:bidi="ru-RU"/>
              </w:rPr>
              <w:t>1.1.</w:t>
            </w:r>
          </w:p>
        </w:tc>
        <w:tc>
          <w:tcPr>
            <w:tcW w:w="8387" w:type="dxa"/>
          </w:tcPr>
          <w:p w:rsidR="001A32A6" w:rsidRPr="001A32A6" w:rsidRDefault="001A32A6" w:rsidP="001A32A6">
            <w:pPr>
              <w:spacing w:before="38"/>
              <w:ind w:left="108" w:right="100"/>
              <w:jc w:val="both"/>
              <w:rPr>
                <w:rFonts w:ascii="Times New Roman" w:eastAsia="Times New Roman" w:hAnsi="Times New Roman" w:cs="Times New Roman"/>
                <w:color w:val="000000"/>
                <w:sz w:val="28"/>
                <w:lang w:val="ru-RU" w:eastAsia="ru-RU" w:bidi="ru-RU"/>
              </w:rPr>
            </w:pPr>
            <w:proofErr w:type="gramStart"/>
            <w:r w:rsidRPr="001A32A6">
              <w:rPr>
                <w:rFonts w:ascii="Times New Roman" w:eastAsia="Times New Roman" w:hAnsi="Times New Roman" w:cs="Times New Roman"/>
                <w:sz w:val="28"/>
                <w:lang w:val="ru-RU" w:eastAsia="ru-RU" w:bidi="ru-RU"/>
              </w:rPr>
              <w:t xml:space="preserve">Внесение изменений в законодательство Российской Федерации, предусматривающих распространение режима «ипотечных каникул» в отношении граждан, заболевших новой </w:t>
            </w:r>
            <w:proofErr w:type="spellStart"/>
            <w:r w:rsidRPr="001A32A6">
              <w:rPr>
                <w:rFonts w:ascii="Times New Roman" w:eastAsia="Times New Roman" w:hAnsi="Times New Roman" w:cs="Times New Roman"/>
                <w:sz w:val="28"/>
                <w:lang w:val="ru-RU" w:eastAsia="ru-RU" w:bidi="ru-RU"/>
              </w:rPr>
              <w:t>коронавирусной</w:t>
            </w:r>
            <w:proofErr w:type="spellEnd"/>
            <w:r w:rsidRPr="001A32A6">
              <w:rPr>
                <w:rFonts w:ascii="Times New Roman" w:eastAsia="Times New Roman" w:hAnsi="Times New Roman" w:cs="Times New Roman"/>
                <w:sz w:val="28"/>
                <w:lang w:val="ru-RU" w:eastAsia="ru-RU" w:bidi="ru-RU"/>
              </w:rPr>
              <w:t xml:space="preserve"> инфекцией, </w:t>
            </w:r>
            <w:r w:rsidRPr="001A32A6">
              <w:rPr>
                <w:rFonts w:ascii="Times New Roman" w:eastAsia="Times New Roman" w:hAnsi="Times New Roman" w:cs="Times New Roman"/>
                <w:color w:val="000000"/>
                <w:sz w:val="28"/>
                <w:lang w:val="ru-RU" w:eastAsia="ru-RU" w:bidi="ru-RU"/>
              </w:rPr>
              <w:t xml:space="preserve">а также граждан, уволенных в период распространения </w:t>
            </w:r>
            <w:proofErr w:type="spellStart"/>
            <w:r w:rsidRPr="001A32A6">
              <w:rPr>
                <w:rFonts w:ascii="Times New Roman" w:eastAsia="Times New Roman" w:hAnsi="Times New Roman" w:cs="Times New Roman"/>
                <w:color w:val="000000"/>
                <w:sz w:val="28"/>
                <w:lang w:val="ru-RU" w:eastAsia="ru-RU" w:bidi="ru-RU"/>
              </w:rPr>
              <w:t>короновирусной</w:t>
            </w:r>
            <w:proofErr w:type="spellEnd"/>
            <w:r w:rsidRPr="001A32A6">
              <w:rPr>
                <w:rFonts w:ascii="Times New Roman" w:eastAsia="Times New Roman" w:hAnsi="Times New Roman" w:cs="Times New Roman"/>
                <w:color w:val="000000"/>
                <w:sz w:val="28"/>
                <w:lang w:val="ru-RU" w:eastAsia="ru-RU" w:bidi="ru-RU"/>
              </w:rPr>
              <w:t xml:space="preserve"> инфекции, в связи с сокращением штатной численности, банкротства или прекращения деятельности предприятий и признанными безработными в соответствии со ст. 3 Закона РФ от 19.04.1991г. № 1032-1 "О занятости населения в Российской Федерации" на период</w:t>
            </w:r>
            <w:proofErr w:type="gramEnd"/>
            <w:r w:rsidRPr="001A32A6">
              <w:rPr>
                <w:rFonts w:ascii="Times New Roman" w:eastAsia="Times New Roman" w:hAnsi="Times New Roman" w:cs="Times New Roman"/>
                <w:color w:val="000000"/>
                <w:sz w:val="28"/>
                <w:lang w:val="ru-RU" w:eastAsia="ru-RU" w:bidi="ru-RU"/>
              </w:rPr>
              <w:t xml:space="preserve"> их трудоустройства, но не более шести месяцев с момента признания их безработными.</w:t>
            </w:r>
          </w:p>
          <w:p w:rsidR="001A32A6" w:rsidRPr="001A32A6" w:rsidRDefault="001A32A6" w:rsidP="001A32A6">
            <w:pPr>
              <w:spacing w:before="38"/>
              <w:ind w:left="108" w:right="100"/>
              <w:jc w:val="both"/>
              <w:rPr>
                <w:rFonts w:ascii="Times New Roman" w:eastAsia="Times New Roman" w:hAnsi="Times New Roman" w:cs="Times New Roman"/>
                <w:i/>
                <w:sz w:val="28"/>
                <w:u w:val="single"/>
                <w:lang w:val="ru-RU" w:eastAsia="ru-RU" w:bidi="ru-RU"/>
              </w:rPr>
            </w:pPr>
            <w:r w:rsidRPr="001A32A6">
              <w:rPr>
                <w:rFonts w:ascii="Times New Roman" w:eastAsia="Times New Roman" w:hAnsi="Times New Roman" w:cs="Times New Roman"/>
                <w:i/>
                <w:sz w:val="28"/>
                <w:u w:val="single"/>
                <w:lang w:val="ru-RU" w:eastAsia="ru-RU" w:bidi="ru-RU"/>
              </w:rPr>
              <w:t>(Понимаем, что все меры Правительства направлены на недопущение безработицы и банкротства предприятий, но если все-таки такие случаи будут, необходимо социально защитить вышеуказанную категорию граждан).</w:t>
            </w:r>
          </w:p>
        </w:tc>
        <w:tc>
          <w:tcPr>
            <w:tcW w:w="6605" w:type="dxa"/>
          </w:tcPr>
          <w:p w:rsidR="005376BC" w:rsidRDefault="001A32A6" w:rsidP="001A32A6">
            <w:pPr>
              <w:spacing w:before="38"/>
              <w:ind w:left="108" w:right="114"/>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 xml:space="preserve">Федеральный закон </w:t>
            </w:r>
          </w:p>
          <w:p w:rsidR="005376BC" w:rsidRDefault="001A32A6" w:rsidP="001A32A6">
            <w:pPr>
              <w:spacing w:before="38"/>
              <w:ind w:left="108" w:right="114"/>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 xml:space="preserve">Минфин России </w:t>
            </w:r>
          </w:p>
          <w:p w:rsidR="005376BC" w:rsidRDefault="001A32A6" w:rsidP="001A32A6">
            <w:pPr>
              <w:spacing w:before="38"/>
              <w:ind w:left="108" w:right="114"/>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 xml:space="preserve">Минстрой России </w:t>
            </w:r>
          </w:p>
          <w:p w:rsidR="001A32A6" w:rsidRPr="001A32A6" w:rsidRDefault="001A32A6" w:rsidP="001A32A6">
            <w:pPr>
              <w:spacing w:before="38"/>
              <w:ind w:left="108" w:right="114"/>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Минэкономразвития России</w:t>
            </w:r>
          </w:p>
        </w:tc>
        <w:tc>
          <w:tcPr>
            <w:tcW w:w="30" w:type="dxa"/>
          </w:tcPr>
          <w:p w:rsidR="001A32A6" w:rsidRPr="001A32A6" w:rsidRDefault="001A32A6" w:rsidP="001A32A6">
            <w:pPr>
              <w:spacing w:before="38"/>
              <w:ind w:left="105" w:right="175"/>
              <w:rPr>
                <w:rFonts w:ascii="Times New Roman" w:eastAsia="Times New Roman" w:hAnsi="Times New Roman" w:cs="Times New Roman"/>
                <w:sz w:val="28"/>
                <w:lang w:val="ru-RU" w:eastAsia="ru-RU" w:bidi="ru-RU"/>
              </w:rPr>
            </w:pPr>
          </w:p>
        </w:tc>
      </w:tr>
      <w:tr w:rsidR="001A32A6" w:rsidRPr="001A32A6" w:rsidTr="003D4C75">
        <w:trPr>
          <w:gridAfter w:val="1"/>
          <w:wAfter w:w="30" w:type="dxa"/>
          <w:trHeight w:val="422"/>
        </w:trPr>
        <w:tc>
          <w:tcPr>
            <w:tcW w:w="626" w:type="dxa"/>
            <w:shd w:val="clear" w:color="auto" w:fill="D9E1F3"/>
          </w:tcPr>
          <w:p w:rsidR="001A32A6" w:rsidRPr="001A32A6" w:rsidRDefault="001A32A6" w:rsidP="001A32A6">
            <w:pPr>
              <w:spacing w:before="43"/>
              <w:ind w:left="107"/>
              <w:rPr>
                <w:rFonts w:ascii="Times New Roman" w:eastAsia="Times New Roman" w:hAnsi="Times New Roman" w:cs="Times New Roman"/>
                <w:b/>
                <w:sz w:val="28"/>
                <w:lang w:val="ru-RU" w:eastAsia="ru-RU" w:bidi="ru-RU"/>
              </w:rPr>
            </w:pPr>
            <w:r>
              <w:rPr>
                <w:rFonts w:ascii="Times New Roman" w:eastAsia="Times New Roman" w:hAnsi="Times New Roman" w:cs="Times New Roman"/>
                <w:b/>
                <w:color w:val="202020"/>
                <w:sz w:val="28"/>
                <w:lang w:val="ru-RU" w:eastAsia="ru-RU" w:bidi="ru-RU"/>
              </w:rPr>
              <w:t>2.</w:t>
            </w:r>
          </w:p>
        </w:tc>
        <w:tc>
          <w:tcPr>
            <w:tcW w:w="14992" w:type="dxa"/>
            <w:gridSpan w:val="2"/>
            <w:shd w:val="clear" w:color="auto" w:fill="D9E1F3"/>
          </w:tcPr>
          <w:p w:rsidR="001A32A6" w:rsidRPr="001A32A6" w:rsidRDefault="001A32A6" w:rsidP="001A32A6">
            <w:pPr>
              <w:spacing w:before="43"/>
              <w:ind w:left="108"/>
              <w:rPr>
                <w:rFonts w:ascii="Times New Roman" w:eastAsia="Times New Roman" w:hAnsi="Times New Roman" w:cs="Times New Roman"/>
                <w:b/>
                <w:sz w:val="28"/>
                <w:lang w:val="ru-RU" w:eastAsia="ru-RU" w:bidi="ru-RU"/>
              </w:rPr>
            </w:pPr>
            <w:r w:rsidRPr="001A32A6">
              <w:rPr>
                <w:rFonts w:ascii="Times New Roman" w:eastAsia="Times New Roman" w:hAnsi="Times New Roman" w:cs="Times New Roman"/>
                <w:b/>
                <w:color w:val="202020"/>
                <w:sz w:val="28"/>
                <w:lang w:val="ru-RU" w:eastAsia="ru-RU" w:bidi="ru-RU"/>
              </w:rPr>
              <w:t>Саморегулируемые организации в области строительства, проектирования и инженерных изысканий</w:t>
            </w:r>
          </w:p>
        </w:tc>
      </w:tr>
      <w:tr w:rsidR="001A32A6" w:rsidRPr="001A32A6" w:rsidTr="003D4C75">
        <w:trPr>
          <w:trHeight w:val="1389"/>
        </w:trPr>
        <w:tc>
          <w:tcPr>
            <w:tcW w:w="626" w:type="dxa"/>
          </w:tcPr>
          <w:p w:rsidR="001A32A6" w:rsidRPr="001A32A6" w:rsidRDefault="001A32A6" w:rsidP="001A32A6">
            <w:pPr>
              <w:spacing w:before="38"/>
              <w:ind w:left="107"/>
              <w:rPr>
                <w:rFonts w:ascii="Times New Roman" w:eastAsia="Times New Roman" w:hAnsi="Times New Roman" w:cs="Times New Roman"/>
                <w:sz w:val="28"/>
                <w:lang w:eastAsia="ru-RU" w:bidi="ru-RU"/>
              </w:rPr>
            </w:pPr>
            <w:r>
              <w:rPr>
                <w:rFonts w:ascii="Times New Roman" w:eastAsia="Times New Roman" w:hAnsi="Times New Roman" w:cs="Times New Roman"/>
                <w:sz w:val="28"/>
                <w:lang w:val="ru-RU" w:eastAsia="ru-RU" w:bidi="ru-RU"/>
              </w:rPr>
              <w:t>2</w:t>
            </w:r>
            <w:r w:rsidRPr="001A32A6">
              <w:rPr>
                <w:rFonts w:ascii="Times New Roman" w:eastAsia="Times New Roman" w:hAnsi="Times New Roman" w:cs="Times New Roman"/>
                <w:sz w:val="28"/>
                <w:lang w:eastAsia="ru-RU" w:bidi="ru-RU"/>
              </w:rPr>
              <w:t>.1</w:t>
            </w:r>
          </w:p>
        </w:tc>
        <w:tc>
          <w:tcPr>
            <w:tcW w:w="8387" w:type="dxa"/>
          </w:tcPr>
          <w:p w:rsidR="001A32A6" w:rsidRPr="001A32A6" w:rsidRDefault="001A32A6" w:rsidP="001A32A6">
            <w:pPr>
              <w:spacing w:before="38"/>
              <w:ind w:left="108" w:right="94"/>
              <w:jc w:val="both"/>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color w:val="202020"/>
                <w:sz w:val="28"/>
                <w:lang w:val="ru-RU" w:eastAsia="ru-RU" w:bidi="ru-RU"/>
              </w:rPr>
              <w:t xml:space="preserve">Предоставление саморегулируемым организациям в области строительства, проектирования и инженерных изысканий права направления средств компенсационных фондов </w:t>
            </w:r>
            <w:r w:rsidRPr="001A32A6">
              <w:rPr>
                <w:rFonts w:ascii="Times New Roman" w:eastAsia="Times New Roman" w:hAnsi="Times New Roman" w:cs="Times New Roman"/>
                <w:color w:val="000000"/>
                <w:sz w:val="28"/>
                <w:lang w:val="ru-RU" w:eastAsia="ru-RU" w:bidi="ru-RU"/>
              </w:rPr>
              <w:t xml:space="preserve">на обеспечение заявок членов данной саморегулируемой организации при участии их в конкурсах  и аукционах  </w:t>
            </w:r>
          </w:p>
        </w:tc>
        <w:tc>
          <w:tcPr>
            <w:tcW w:w="6605" w:type="dxa"/>
          </w:tcPr>
          <w:p w:rsidR="001A32A6" w:rsidRPr="001A32A6" w:rsidRDefault="001A32A6" w:rsidP="001A32A6">
            <w:pPr>
              <w:spacing w:before="38"/>
              <w:ind w:left="108" w:right="776"/>
              <w:jc w:val="both"/>
              <w:rPr>
                <w:rFonts w:ascii="Times New Roman" w:eastAsia="Times New Roman" w:hAnsi="Times New Roman" w:cs="Times New Roman"/>
                <w:color w:val="000000"/>
                <w:sz w:val="28"/>
                <w:lang w:val="ru-RU" w:eastAsia="ru-RU" w:bidi="ru-RU"/>
              </w:rPr>
            </w:pPr>
            <w:r w:rsidRPr="001A32A6">
              <w:rPr>
                <w:rFonts w:ascii="Times New Roman" w:eastAsia="Times New Roman" w:hAnsi="Times New Roman" w:cs="Times New Roman"/>
                <w:color w:val="000000"/>
                <w:sz w:val="28"/>
                <w:lang w:val="ru-RU" w:eastAsia="ru-RU" w:bidi="ru-RU"/>
              </w:rPr>
              <w:t xml:space="preserve">Федеральный закон </w:t>
            </w:r>
          </w:p>
          <w:p w:rsidR="005376BC" w:rsidRDefault="001A32A6" w:rsidP="001A32A6">
            <w:pPr>
              <w:spacing w:before="38"/>
              <w:ind w:left="108" w:right="776"/>
              <w:jc w:val="both"/>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 xml:space="preserve">Постановление Правительства </w:t>
            </w:r>
          </w:p>
          <w:p w:rsidR="001A32A6" w:rsidRPr="001A32A6" w:rsidRDefault="001A32A6" w:rsidP="005376BC">
            <w:pPr>
              <w:spacing w:before="38"/>
              <w:ind w:left="108" w:right="776"/>
              <w:jc w:val="both"/>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Российской</w:t>
            </w:r>
            <w:r w:rsidR="005376BC">
              <w:rPr>
                <w:rFonts w:ascii="Times New Roman" w:eastAsia="Times New Roman" w:hAnsi="Times New Roman" w:cs="Times New Roman"/>
                <w:sz w:val="28"/>
                <w:lang w:val="ru-RU" w:eastAsia="ru-RU" w:bidi="ru-RU"/>
              </w:rPr>
              <w:t xml:space="preserve"> </w:t>
            </w:r>
            <w:r w:rsidRPr="001A32A6">
              <w:rPr>
                <w:rFonts w:ascii="Times New Roman" w:eastAsia="Times New Roman" w:hAnsi="Times New Roman" w:cs="Times New Roman"/>
                <w:sz w:val="28"/>
                <w:lang w:val="ru-RU" w:eastAsia="ru-RU" w:bidi="ru-RU"/>
              </w:rPr>
              <w:t>Федерации</w:t>
            </w:r>
          </w:p>
        </w:tc>
        <w:tc>
          <w:tcPr>
            <w:tcW w:w="30" w:type="dxa"/>
          </w:tcPr>
          <w:p w:rsidR="001A32A6" w:rsidRPr="001A32A6" w:rsidRDefault="001A32A6" w:rsidP="001A32A6">
            <w:pPr>
              <w:spacing w:before="2"/>
              <w:ind w:left="105"/>
              <w:rPr>
                <w:rFonts w:ascii="Times New Roman" w:eastAsia="Times New Roman" w:hAnsi="Times New Roman" w:cs="Times New Roman"/>
                <w:sz w:val="28"/>
                <w:lang w:val="ru-RU" w:eastAsia="ru-RU" w:bidi="ru-RU"/>
              </w:rPr>
            </w:pPr>
          </w:p>
        </w:tc>
      </w:tr>
    </w:tbl>
    <w:tbl>
      <w:tblPr>
        <w:tblStyle w:val="TableNormal"/>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8387"/>
        <w:gridCol w:w="6697"/>
        <w:gridCol w:w="30"/>
      </w:tblGrid>
      <w:tr w:rsidR="001A32A6" w:rsidRPr="001A32A6" w:rsidTr="00D617A7">
        <w:trPr>
          <w:trHeight w:val="2364"/>
        </w:trPr>
        <w:tc>
          <w:tcPr>
            <w:tcW w:w="626" w:type="dxa"/>
            <w:tcBorders>
              <w:top w:val="nil"/>
            </w:tcBorders>
          </w:tcPr>
          <w:p w:rsidR="001A32A6" w:rsidRPr="001A32A6" w:rsidRDefault="001A32A6" w:rsidP="001A32A6">
            <w:pPr>
              <w:rPr>
                <w:rFonts w:ascii="Times New Roman" w:eastAsia="Times New Roman" w:hAnsi="Times New Roman" w:cs="Times New Roman"/>
                <w:sz w:val="28"/>
                <w:lang w:val="ru-RU" w:eastAsia="ru-RU" w:bidi="ru-RU"/>
              </w:rPr>
            </w:pPr>
          </w:p>
        </w:tc>
        <w:tc>
          <w:tcPr>
            <w:tcW w:w="8387" w:type="dxa"/>
            <w:tcBorders>
              <w:top w:val="nil"/>
            </w:tcBorders>
          </w:tcPr>
          <w:p w:rsidR="001A32A6" w:rsidRPr="001A32A6" w:rsidRDefault="001A32A6" w:rsidP="001A32A6">
            <w:pPr>
              <w:spacing w:before="48"/>
              <w:ind w:right="95"/>
              <w:jc w:val="both"/>
              <w:rPr>
                <w:rFonts w:ascii="Times New Roman" w:eastAsia="Times New Roman" w:hAnsi="Times New Roman" w:cs="Times New Roman"/>
                <w:color w:val="000000"/>
                <w:sz w:val="28"/>
                <w:lang w:val="ru-RU" w:eastAsia="ru-RU" w:bidi="ru-RU"/>
              </w:rPr>
            </w:pPr>
            <w:r w:rsidRPr="001A32A6">
              <w:rPr>
                <w:rFonts w:ascii="Times New Roman" w:eastAsia="Times New Roman" w:hAnsi="Times New Roman" w:cs="Times New Roman"/>
                <w:color w:val="202020"/>
                <w:sz w:val="28"/>
                <w:lang w:val="ru-RU" w:eastAsia="ru-RU" w:bidi="ru-RU"/>
              </w:rPr>
              <w:t xml:space="preserve"> в размере, не превышающем минимальный уровень ответственности действующих членов таких саморегулируемых организаций, при условии обеспечения сохранности средств</w:t>
            </w:r>
            <w:r w:rsidRPr="001A32A6">
              <w:rPr>
                <w:rFonts w:ascii="Times New Roman" w:eastAsia="Times New Roman" w:hAnsi="Times New Roman" w:cs="Times New Roman"/>
                <w:color w:val="000000"/>
                <w:sz w:val="28"/>
                <w:lang w:val="ru-RU" w:eastAsia="ru-RU" w:bidi="ru-RU"/>
              </w:rPr>
              <w:t xml:space="preserve"> и контроля Минстроем России.</w:t>
            </w:r>
          </w:p>
          <w:p w:rsidR="001A32A6" w:rsidRPr="001A32A6" w:rsidRDefault="001A32A6" w:rsidP="001A32A6">
            <w:pPr>
              <w:ind w:left="108"/>
              <w:jc w:val="both"/>
              <w:rPr>
                <w:rFonts w:ascii="Times New Roman" w:eastAsia="Times New Roman" w:hAnsi="Times New Roman" w:cs="Times New Roman"/>
                <w:i/>
                <w:color w:val="000000"/>
                <w:sz w:val="28"/>
                <w:u w:val="single"/>
                <w:lang w:val="ru-RU" w:eastAsia="ru-RU" w:bidi="ru-RU"/>
              </w:rPr>
            </w:pPr>
            <w:proofErr w:type="gramStart"/>
            <w:r w:rsidRPr="001A32A6">
              <w:rPr>
                <w:rFonts w:ascii="Times New Roman" w:eastAsia="Times New Roman" w:hAnsi="Times New Roman" w:cs="Times New Roman"/>
                <w:i/>
                <w:color w:val="000000"/>
                <w:sz w:val="28"/>
                <w:u w:val="single"/>
                <w:lang w:val="ru-RU" w:eastAsia="ru-RU" w:bidi="ru-RU"/>
              </w:rPr>
              <w:t>(Данные предложения неоднократно высказывались членами саморегулируемых организаций.</w:t>
            </w:r>
            <w:proofErr w:type="gramEnd"/>
            <w:r w:rsidRPr="001A32A6">
              <w:rPr>
                <w:rFonts w:ascii="Times New Roman" w:eastAsia="Times New Roman" w:hAnsi="Times New Roman" w:cs="Times New Roman"/>
                <w:i/>
                <w:color w:val="000000"/>
                <w:sz w:val="28"/>
                <w:u w:val="single"/>
                <w:lang w:val="ru-RU" w:eastAsia="ru-RU" w:bidi="ru-RU"/>
              </w:rPr>
              <w:t xml:space="preserve"> </w:t>
            </w:r>
            <w:proofErr w:type="gramStart"/>
            <w:r w:rsidRPr="001A32A6">
              <w:rPr>
                <w:rFonts w:ascii="Times New Roman" w:eastAsia="Times New Roman" w:hAnsi="Times New Roman" w:cs="Times New Roman"/>
                <w:i/>
                <w:color w:val="000000"/>
                <w:sz w:val="28"/>
                <w:u w:val="single"/>
                <w:lang w:val="ru-RU" w:eastAsia="ru-RU" w:bidi="ru-RU"/>
              </w:rPr>
              <w:t xml:space="preserve">Так как денежные средства возвратные, то риски саморегулируемых организаций минимальные, но вывод из оборота действующих организаций, осуществляющих строительство, в том числе дорожное строительство, значительных денежных средств при множественном участии в конкурсах или аукционах  фактически ведет к уменьшению оборотных денежных средств, а соответственно, к снижению уровня стабильного развития организации - члена  саморегулируемой организации).  </w:t>
            </w:r>
            <w:proofErr w:type="gramEnd"/>
          </w:p>
        </w:tc>
        <w:tc>
          <w:tcPr>
            <w:tcW w:w="6697" w:type="dxa"/>
            <w:tcBorders>
              <w:top w:val="nil"/>
            </w:tcBorders>
          </w:tcPr>
          <w:p w:rsidR="00D617A7" w:rsidRDefault="001A32A6" w:rsidP="001A32A6">
            <w:pPr>
              <w:spacing w:before="48"/>
              <w:ind w:left="108" w:right="114"/>
              <w:rPr>
                <w:rFonts w:ascii="Times New Roman" w:eastAsia="Times New Roman" w:hAnsi="Times New Roman" w:cs="Times New Roman"/>
                <w:sz w:val="28"/>
                <w:lang w:val="ru-RU" w:eastAsia="ru-RU" w:bidi="ru-RU"/>
              </w:rPr>
            </w:pPr>
            <w:proofErr w:type="spellStart"/>
            <w:r w:rsidRPr="001A32A6">
              <w:rPr>
                <w:rFonts w:ascii="Times New Roman" w:eastAsia="Times New Roman" w:hAnsi="Times New Roman" w:cs="Times New Roman"/>
                <w:sz w:val="28"/>
                <w:lang w:eastAsia="ru-RU" w:bidi="ru-RU"/>
              </w:rPr>
              <w:t>Минстрой</w:t>
            </w:r>
            <w:proofErr w:type="spellEnd"/>
            <w:r w:rsidRPr="001A32A6">
              <w:rPr>
                <w:rFonts w:ascii="Times New Roman" w:eastAsia="Times New Roman" w:hAnsi="Times New Roman" w:cs="Times New Roman"/>
                <w:sz w:val="28"/>
                <w:lang w:eastAsia="ru-RU" w:bidi="ru-RU"/>
              </w:rPr>
              <w:t xml:space="preserve"> </w:t>
            </w:r>
            <w:proofErr w:type="spellStart"/>
            <w:r w:rsidRPr="001A32A6">
              <w:rPr>
                <w:rFonts w:ascii="Times New Roman" w:eastAsia="Times New Roman" w:hAnsi="Times New Roman" w:cs="Times New Roman"/>
                <w:sz w:val="28"/>
                <w:lang w:eastAsia="ru-RU" w:bidi="ru-RU"/>
              </w:rPr>
              <w:t>России</w:t>
            </w:r>
            <w:proofErr w:type="spellEnd"/>
          </w:p>
          <w:p w:rsidR="001A32A6" w:rsidRPr="001A32A6" w:rsidRDefault="001A32A6" w:rsidP="001A32A6">
            <w:pPr>
              <w:spacing w:before="48"/>
              <w:ind w:left="108" w:right="114"/>
              <w:rPr>
                <w:rFonts w:ascii="Times New Roman" w:eastAsia="Times New Roman" w:hAnsi="Times New Roman" w:cs="Times New Roman"/>
                <w:sz w:val="28"/>
                <w:lang w:eastAsia="ru-RU" w:bidi="ru-RU"/>
              </w:rPr>
            </w:pPr>
            <w:r w:rsidRPr="001A32A6">
              <w:rPr>
                <w:rFonts w:ascii="Times New Roman" w:eastAsia="Times New Roman" w:hAnsi="Times New Roman" w:cs="Times New Roman"/>
                <w:sz w:val="28"/>
                <w:lang w:eastAsia="ru-RU" w:bidi="ru-RU"/>
              </w:rPr>
              <w:t xml:space="preserve"> </w:t>
            </w:r>
            <w:proofErr w:type="spellStart"/>
            <w:r w:rsidRPr="001A32A6">
              <w:rPr>
                <w:rFonts w:ascii="Times New Roman" w:eastAsia="Times New Roman" w:hAnsi="Times New Roman" w:cs="Times New Roman"/>
                <w:sz w:val="28"/>
                <w:lang w:eastAsia="ru-RU" w:bidi="ru-RU"/>
              </w:rPr>
              <w:t>Минэкономразвития</w:t>
            </w:r>
            <w:proofErr w:type="spellEnd"/>
            <w:r w:rsidRPr="001A32A6">
              <w:rPr>
                <w:rFonts w:ascii="Times New Roman" w:eastAsia="Times New Roman" w:hAnsi="Times New Roman" w:cs="Times New Roman"/>
                <w:sz w:val="28"/>
                <w:lang w:eastAsia="ru-RU" w:bidi="ru-RU"/>
              </w:rPr>
              <w:t xml:space="preserve"> </w:t>
            </w:r>
            <w:proofErr w:type="spellStart"/>
            <w:r w:rsidRPr="001A32A6">
              <w:rPr>
                <w:rFonts w:ascii="Times New Roman" w:eastAsia="Times New Roman" w:hAnsi="Times New Roman" w:cs="Times New Roman"/>
                <w:sz w:val="28"/>
                <w:lang w:eastAsia="ru-RU" w:bidi="ru-RU"/>
              </w:rPr>
              <w:t>России</w:t>
            </w:r>
            <w:proofErr w:type="spellEnd"/>
          </w:p>
        </w:tc>
        <w:tc>
          <w:tcPr>
            <w:tcW w:w="20" w:type="dxa"/>
            <w:tcBorders>
              <w:top w:val="nil"/>
            </w:tcBorders>
          </w:tcPr>
          <w:p w:rsidR="001A32A6" w:rsidRPr="001A32A6" w:rsidRDefault="001A32A6" w:rsidP="001A32A6">
            <w:pPr>
              <w:rPr>
                <w:rFonts w:ascii="Times New Roman" w:eastAsia="Times New Roman" w:hAnsi="Times New Roman" w:cs="Times New Roman"/>
                <w:sz w:val="28"/>
                <w:lang w:eastAsia="ru-RU" w:bidi="ru-RU"/>
              </w:rPr>
            </w:pPr>
          </w:p>
        </w:tc>
      </w:tr>
      <w:tr w:rsidR="001A32A6" w:rsidRPr="001A32A6" w:rsidTr="00D617A7">
        <w:trPr>
          <w:trHeight w:val="841"/>
        </w:trPr>
        <w:tc>
          <w:tcPr>
            <w:tcW w:w="626" w:type="dxa"/>
          </w:tcPr>
          <w:p w:rsidR="001A32A6" w:rsidRPr="001A32A6" w:rsidRDefault="001A32A6" w:rsidP="001A32A6">
            <w:pPr>
              <w:spacing w:before="38"/>
              <w:ind w:left="107"/>
              <w:rPr>
                <w:rFonts w:ascii="Times New Roman" w:eastAsia="Times New Roman" w:hAnsi="Times New Roman" w:cs="Times New Roman"/>
                <w:sz w:val="28"/>
                <w:lang w:eastAsia="ru-RU" w:bidi="ru-RU"/>
              </w:rPr>
            </w:pPr>
            <w:r>
              <w:rPr>
                <w:rFonts w:ascii="Times New Roman" w:eastAsia="Times New Roman" w:hAnsi="Times New Roman" w:cs="Times New Roman"/>
                <w:sz w:val="28"/>
                <w:lang w:val="ru-RU" w:eastAsia="ru-RU" w:bidi="ru-RU"/>
              </w:rPr>
              <w:t>2</w:t>
            </w:r>
            <w:r w:rsidRPr="001A32A6">
              <w:rPr>
                <w:rFonts w:ascii="Times New Roman" w:eastAsia="Times New Roman" w:hAnsi="Times New Roman" w:cs="Times New Roman"/>
                <w:sz w:val="28"/>
                <w:lang w:eastAsia="ru-RU" w:bidi="ru-RU"/>
              </w:rPr>
              <w:t>.2</w:t>
            </w:r>
          </w:p>
        </w:tc>
        <w:tc>
          <w:tcPr>
            <w:tcW w:w="8387" w:type="dxa"/>
          </w:tcPr>
          <w:p w:rsidR="001A32A6" w:rsidRPr="001A32A6" w:rsidRDefault="001A32A6" w:rsidP="001A32A6">
            <w:pPr>
              <w:spacing w:before="38"/>
              <w:ind w:left="108" w:right="95"/>
              <w:jc w:val="both"/>
              <w:rPr>
                <w:rFonts w:ascii="Times New Roman" w:eastAsia="Times New Roman" w:hAnsi="Times New Roman" w:cs="Times New Roman"/>
                <w:color w:val="000000"/>
                <w:sz w:val="28"/>
                <w:lang w:val="ru-RU" w:eastAsia="ru-RU" w:bidi="ru-RU"/>
              </w:rPr>
            </w:pPr>
            <w:proofErr w:type="gramStart"/>
            <w:r w:rsidRPr="001A32A6">
              <w:rPr>
                <w:rFonts w:ascii="Times New Roman" w:eastAsia="Times New Roman" w:hAnsi="Times New Roman" w:cs="Times New Roman"/>
                <w:sz w:val="28"/>
                <w:lang w:val="ru-RU" w:eastAsia="ru-RU" w:bidi="ru-RU"/>
              </w:rPr>
              <w:t xml:space="preserve">Создание возможности использования части процентного дохода, получаемого саморегулируемыми организациями </w:t>
            </w:r>
            <w:r w:rsidRPr="001A32A6">
              <w:rPr>
                <w:rFonts w:ascii="Times New Roman" w:eastAsia="Times New Roman" w:hAnsi="Times New Roman" w:cs="Times New Roman"/>
                <w:color w:val="202020"/>
                <w:sz w:val="28"/>
                <w:lang w:val="ru-RU" w:eastAsia="ru-RU" w:bidi="ru-RU"/>
              </w:rPr>
              <w:t xml:space="preserve">в области строительства, проектирования и инженерных изысканий </w:t>
            </w:r>
            <w:r w:rsidRPr="001A32A6">
              <w:rPr>
                <w:rFonts w:ascii="Times New Roman" w:eastAsia="Times New Roman" w:hAnsi="Times New Roman" w:cs="Times New Roman"/>
                <w:sz w:val="28"/>
                <w:lang w:val="ru-RU" w:eastAsia="ru-RU" w:bidi="ru-RU"/>
              </w:rPr>
              <w:t xml:space="preserve">при размещении средств компенсационных фондов в кредитных организациях, в зачет взносов членов таких саморегулируемых организаций, </w:t>
            </w:r>
            <w:r w:rsidRPr="001A32A6">
              <w:rPr>
                <w:rFonts w:ascii="Times New Roman" w:eastAsia="Times New Roman" w:hAnsi="Times New Roman" w:cs="Times New Roman"/>
                <w:color w:val="000000"/>
                <w:sz w:val="28"/>
                <w:lang w:val="ru-RU" w:eastAsia="ru-RU" w:bidi="ru-RU"/>
              </w:rPr>
              <w:t>а также части процентного дохода, получаемого Национальными  объединениями строителей и проектировщиков от размещения средств компенсационных фондов в зачет  уплаты  членских взносов в Национальные объединения, перечисляемых в настоящее время саморегулируемыми</w:t>
            </w:r>
            <w:proofErr w:type="gramEnd"/>
            <w:r w:rsidRPr="001A32A6">
              <w:rPr>
                <w:rFonts w:ascii="Times New Roman" w:eastAsia="Times New Roman" w:hAnsi="Times New Roman" w:cs="Times New Roman"/>
                <w:color w:val="000000"/>
                <w:sz w:val="28"/>
                <w:lang w:val="ru-RU" w:eastAsia="ru-RU" w:bidi="ru-RU"/>
              </w:rPr>
              <w:t xml:space="preserve"> организациями за каждого члена саморегулируемой организации (размер определяется на Всероссийских съездах Национальных объединений).</w:t>
            </w:r>
          </w:p>
          <w:p w:rsidR="001A32A6" w:rsidRPr="001A32A6" w:rsidRDefault="001A32A6" w:rsidP="001A32A6">
            <w:pPr>
              <w:spacing w:before="38"/>
              <w:ind w:left="108" w:right="95"/>
              <w:jc w:val="both"/>
              <w:rPr>
                <w:rFonts w:ascii="Times New Roman" w:eastAsia="Times New Roman" w:hAnsi="Times New Roman" w:cs="Times New Roman"/>
                <w:i/>
                <w:color w:val="000000"/>
                <w:sz w:val="28"/>
                <w:u w:val="single"/>
                <w:lang w:val="ru-RU" w:eastAsia="ru-RU" w:bidi="ru-RU"/>
              </w:rPr>
            </w:pPr>
            <w:proofErr w:type="gramStart"/>
            <w:r w:rsidRPr="001A32A6">
              <w:rPr>
                <w:rFonts w:ascii="Times New Roman" w:eastAsia="Times New Roman" w:hAnsi="Times New Roman" w:cs="Times New Roman"/>
                <w:i/>
                <w:color w:val="000000"/>
                <w:sz w:val="28"/>
                <w:u w:val="single"/>
                <w:lang w:val="ru-RU" w:eastAsia="ru-RU" w:bidi="ru-RU"/>
              </w:rPr>
              <w:t>(Предложения по использованию части процентов от доходов, полученных как саморегулируемыми организациями, так и Национальными объединениями от размещения средств компенсационных фондов неоднократно озвучивались строительным сообществом.</w:t>
            </w:r>
            <w:proofErr w:type="gramEnd"/>
            <w:r w:rsidRPr="001A32A6">
              <w:rPr>
                <w:rFonts w:ascii="Times New Roman" w:eastAsia="Times New Roman" w:hAnsi="Times New Roman" w:cs="Times New Roman"/>
                <w:i/>
                <w:color w:val="000000"/>
                <w:sz w:val="28"/>
                <w:u w:val="single"/>
                <w:lang w:val="ru-RU" w:eastAsia="ru-RU" w:bidi="ru-RU"/>
              </w:rPr>
              <w:t xml:space="preserve"> </w:t>
            </w:r>
            <w:proofErr w:type="gramStart"/>
            <w:r w:rsidRPr="001A32A6">
              <w:rPr>
                <w:rFonts w:ascii="Times New Roman" w:eastAsia="Times New Roman" w:hAnsi="Times New Roman" w:cs="Times New Roman"/>
                <w:i/>
                <w:color w:val="000000"/>
                <w:sz w:val="28"/>
                <w:u w:val="single"/>
                <w:lang w:val="ru-RU" w:eastAsia="ru-RU" w:bidi="ru-RU"/>
              </w:rPr>
              <w:t xml:space="preserve">Считаем, что введение данной нормы  направлено на поддержку строительной отрасли, а </w:t>
            </w:r>
            <w:r w:rsidRPr="001A32A6">
              <w:rPr>
                <w:rFonts w:ascii="Times New Roman" w:eastAsia="Times New Roman" w:hAnsi="Times New Roman" w:cs="Times New Roman"/>
                <w:i/>
                <w:color w:val="000000"/>
                <w:sz w:val="28"/>
                <w:u w:val="single"/>
                <w:lang w:val="ru-RU" w:eastAsia="ru-RU" w:bidi="ru-RU"/>
              </w:rPr>
              <w:lastRenderedPageBreak/>
              <w:t xml:space="preserve">именно: строительных организаций, на снижение нагрузки по оплате расходов за членство в саморегулируемых организациях). </w:t>
            </w:r>
            <w:proofErr w:type="gramEnd"/>
          </w:p>
          <w:p w:rsidR="001A32A6" w:rsidRPr="001A32A6" w:rsidRDefault="001A32A6" w:rsidP="001A32A6">
            <w:pPr>
              <w:spacing w:before="38"/>
              <w:ind w:left="108" w:right="95"/>
              <w:jc w:val="both"/>
              <w:rPr>
                <w:rFonts w:ascii="Times New Roman" w:eastAsia="Times New Roman" w:hAnsi="Times New Roman" w:cs="Times New Roman"/>
                <w:sz w:val="28"/>
                <w:lang w:val="ru-RU" w:eastAsia="ru-RU" w:bidi="ru-RU"/>
              </w:rPr>
            </w:pPr>
          </w:p>
        </w:tc>
        <w:tc>
          <w:tcPr>
            <w:tcW w:w="6697" w:type="dxa"/>
          </w:tcPr>
          <w:p w:rsidR="00D617A7" w:rsidRDefault="001A32A6" w:rsidP="001A32A6">
            <w:pPr>
              <w:spacing w:before="38"/>
              <w:ind w:left="108" w:right="114"/>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lastRenderedPageBreak/>
              <w:t xml:space="preserve">Федеральный закон </w:t>
            </w:r>
          </w:p>
          <w:p w:rsidR="00D617A7" w:rsidRDefault="001A32A6" w:rsidP="001A32A6">
            <w:pPr>
              <w:spacing w:before="38"/>
              <w:ind w:left="108" w:right="114"/>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 xml:space="preserve">Минстрой России </w:t>
            </w:r>
          </w:p>
          <w:p w:rsidR="001A32A6" w:rsidRPr="001A32A6" w:rsidRDefault="001A32A6" w:rsidP="001A32A6">
            <w:pPr>
              <w:spacing w:before="38"/>
              <w:ind w:left="108" w:right="114"/>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Минэкономразвития России</w:t>
            </w:r>
          </w:p>
        </w:tc>
        <w:tc>
          <w:tcPr>
            <w:tcW w:w="20" w:type="dxa"/>
          </w:tcPr>
          <w:p w:rsidR="001A32A6" w:rsidRPr="001A32A6" w:rsidRDefault="001A32A6" w:rsidP="001A32A6">
            <w:pPr>
              <w:ind w:left="105"/>
              <w:rPr>
                <w:rFonts w:ascii="Times New Roman" w:eastAsia="Times New Roman" w:hAnsi="Times New Roman" w:cs="Times New Roman"/>
                <w:sz w:val="28"/>
                <w:lang w:val="ru-RU" w:eastAsia="ru-RU" w:bidi="ru-RU"/>
              </w:rPr>
            </w:pPr>
          </w:p>
        </w:tc>
      </w:tr>
      <w:tr w:rsidR="001A32A6" w:rsidRPr="001A32A6" w:rsidTr="00D617A7">
        <w:trPr>
          <w:trHeight w:val="1711"/>
        </w:trPr>
        <w:tc>
          <w:tcPr>
            <w:tcW w:w="626" w:type="dxa"/>
          </w:tcPr>
          <w:p w:rsidR="001A32A6" w:rsidRPr="001A32A6" w:rsidRDefault="001A32A6" w:rsidP="001A32A6">
            <w:pPr>
              <w:spacing w:before="38"/>
              <w:ind w:left="107"/>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lang w:val="ru-RU" w:eastAsia="ru-RU" w:bidi="ru-RU"/>
              </w:rPr>
              <w:lastRenderedPageBreak/>
              <w:t>2</w:t>
            </w:r>
            <w:r>
              <w:rPr>
                <w:rFonts w:ascii="Times New Roman" w:eastAsia="Times New Roman" w:hAnsi="Times New Roman" w:cs="Times New Roman"/>
                <w:color w:val="000000"/>
                <w:sz w:val="28"/>
                <w:lang w:eastAsia="ru-RU" w:bidi="ru-RU"/>
              </w:rPr>
              <w:t>.</w:t>
            </w:r>
            <w:r>
              <w:rPr>
                <w:rFonts w:ascii="Times New Roman" w:eastAsia="Times New Roman" w:hAnsi="Times New Roman" w:cs="Times New Roman"/>
                <w:color w:val="000000"/>
                <w:sz w:val="28"/>
                <w:lang w:val="ru-RU" w:eastAsia="ru-RU" w:bidi="ru-RU"/>
              </w:rPr>
              <w:t>3</w:t>
            </w:r>
            <w:r w:rsidRPr="001A32A6">
              <w:rPr>
                <w:rFonts w:ascii="Times New Roman" w:eastAsia="Times New Roman" w:hAnsi="Times New Roman" w:cs="Times New Roman"/>
                <w:color w:val="000000"/>
                <w:sz w:val="28"/>
                <w:lang w:eastAsia="ru-RU" w:bidi="ru-RU"/>
              </w:rPr>
              <w:t>.</w:t>
            </w:r>
          </w:p>
        </w:tc>
        <w:tc>
          <w:tcPr>
            <w:tcW w:w="8387" w:type="dxa"/>
          </w:tcPr>
          <w:p w:rsidR="001A32A6" w:rsidRPr="001A32A6" w:rsidRDefault="001A32A6" w:rsidP="001A32A6">
            <w:pPr>
              <w:spacing w:before="38"/>
              <w:ind w:left="108" w:right="95"/>
              <w:jc w:val="both"/>
              <w:rPr>
                <w:rFonts w:ascii="Times New Roman" w:eastAsia="Times New Roman" w:hAnsi="Times New Roman" w:cs="Times New Roman"/>
                <w:color w:val="000000"/>
                <w:sz w:val="28"/>
                <w:lang w:val="ru-RU" w:eastAsia="ru-RU" w:bidi="ru-RU"/>
              </w:rPr>
            </w:pPr>
            <w:proofErr w:type="gramStart"/>
            <w:r w:rsidRPr="001A32A6">
              <w:rPr>
                <w:rFonts w:ascii="Times New Roman" w:eastAsia="Times New Roman" w:hAnsi="Times New Roman" w:cs="Times New Roman"/>
                <w:color w:val="000000"/>
                <w:sz w:val="28"/>
                <w:lang w:val="ru-RU" w:eastAsia="ru-RU" w:bidi="ru-RU"/>
              </w:rPr>
              <w:t xml:space="preserve">Снижения требований к трудовому стажу по профессии, специальности и направлению подготовки в области строительства для внесения в национальный реестр специалистов (далее - НРС) с 10 лет дот 5 лет стажа по профессии для лиц, имеющих высшее образование по специальности, а так же включение в НРС лиц, имеющих среднее профессиональное образование по специальности при наличии трудового стажа не менее десяти лет. </w:t>
            </w:r>
            <w:proofErr w:type="gramEnd"/>
          </w:p>
          <w:p w:rsidR="001A32A6" w:rsidRPr="001A32A6" w:rsidRDefault="001A32A6" w:rsidP="001A32A6">
            <w:pPr>
              <w:spacing w:before="38"/>
              <w:ind w:left="108" w:right="95"/>
              <w:jc w:val="both"/>
              <w:rPr>
                <w:rFonts w:ascii="Times New Roman" w:eastAsia="Times New Roman" w:hAnsi="Times New Roman" w:cs="Times New Roman"/>
                <w:i/>
                <w:color w:val="000000"/>
                <w:sz w:val="28"/>
                <w:u w:val="single"/>
                <w:lang w:val="ru-RU" w:eastAsia="ru-RU" w:bidi="ru-RU"/>
              </w:rPr>
            </w:pPr>
            <w:proofErr w:type="gramStart"/>
            <w:r w:rsidRPr="001A32A6">
              <w:rPr>
                <w:rFonts w:ascii="Times New Roman" w:eastAsia="Times New Roman" w:hAnsi="Times New Roman" w:cs="Times New Roman"/>
                <w:i/>
                <w:color w:val="000000"/>
                <w:sz w:val="28"/>
                <w:u w:val="single"/>
                <w:lang w:val="ru-RU" w:eastAsia="ru-RU" w:bidi="ru-RU"/>
              </w:rPr>
              <w:t>(Предложение неоднократно вносилось строительными организациями,  в том числе и в Государственную Думу представительным органом Республики Мордовия.</w:t>
            </w:r>
            <w:proofErr w:type="gramEnd"/>
            <w:r w:rsidRPr="001A32A6">
              <w:rPr>
                <w:rFonts w:ascii="Times New Roman" w:eastAsia="Times New Roman" w:hAnsi="Times New Roman" w:cs="Times New Roman"/>
                <w:i/>
                <w:color w:val="000000"/>
                <w:sz w:val="28"/>
                <w:u w:val="single"/>
                <w:lang w:val="ru-RU" w:eastAsia="ru-RU" w:bidi="ru-RU"/>
              </w:rPr>
              <w:t xml:space="preserve"> Принятие закона приведет к упорядочению ведения НРС и искоренению  предложений (а таких уже </w:t>
            </w:r>
            <w:proofErr w:type="gramStart"/>
            <w:r w:rsidRPr="001A32A6">
              <w:rPr>
                <w:rFonts w:ascii="Times New Roman" w:eastAsia="Times New Roman" w:hAnsi="Times New Roman" w:cs="Times New Roman"/>
                <w:i/>
                <w:color w:val="000000"/>
                <w:sz w:val="28"/>
                <w:u w:val="single"/>
                <w:lang w:val="ru-RU" w:eastAsia="ru-RU" w:bidi="ru-RU"/>
              </w:rPr>
              <w:t>не мало</w:t>
            </w:r>
            <w:proofErr w:type="gramEnd"/>
            <w:r w:rsidRPr="001A32A6">
              <w:rPr>
                <w:rFonts w:ascii="Times New Roman" w:eastAsia="Times New Roman" w:hAnsi="Times New Roman" w:cs="Times New Roman"/>
                <w:i/>
                <w:color w:val="000000"/>
                <w:sz w:val="28"/>
                <w:u w:val="single"/>
                <w:lang w:val="ru-RU" w:eastAsia="ru-RU" w:bidi="ru-RU"/>
              </w:rPr>
              <w:t xml:space="preserve"> в сети Интернет) по включению в НРС за плату  в короткие сроки  фиктивных сотрудников. Так же принятие закона стимулирует заинтересованность к стабильной работе в строительной отрасли специалистов в возрасте от 30-31 года и старше. </w:t>
            </w:r>
            <w:proofErr w:type="gramStart"/>
            <w:r w:rsidRPr="001A32A6">
              <w:rPr>
                <w:rFonts w:ascii="Times New Roman" w:eastAsia="Times New Roman" w:hAnsi="Times New Roman" w:cs="Times New Roman"/>
                <w:i/>
                <w:color w:val="000000"/>
                <w:sz w:val="28"/>
                <w:u w:val="single"/>
                <w:lang w:val="ru-RU" w:eastAsia="ru-RU" w:bidi="ru-RU"/>
              </w:rPr>
              <w:t>Если специалист включен в НРС, есть малая вероятность того, что он поменяет специальность в дальнейшем).</w:t>
            </w:r>
            <w:proofErr w:type="gramEnd"/>
          </w:p>
        </w:tc>
        <w:tc>
          <w:tcPr>
            <w:tcW w:w="6697" w:type="dxa"/>
          </w:tcPr>
          <w:p w:rsidR="001A32A6" w:rsidRPr="001A32A6" w:rsidRDefault="001A32A6" w:rsidP="001A32A6">
            <w:pPr>
              <w:spacing w:before="38"/>
              <w:ind w:left="108" w:right="444"/>
              <w:rPr>
                <w:rFonts w:ascii="Times New Roman" w:eastAsia="Times New Roman" w:hAnsi="Times New Roman" w:cs="Times New Roman"/>
                <w:color w:val="000000"/>
                <w:sz w:val="28"/>
                <w:lang w:val="ru-RU" w:eastAsia="ru-RU" w:bidi="ru-RU"/>
              </w:rPr>
            </w:pPr>
            <w:r w:rsidRPr="001A32A6">
              <w:rPr>
                <w:rFonts w:ascii="Times New Roman" w:eastAsia="Times New Roman" w:hAnsi="Times New Roman" w:cs="Times New Roman"/>
                <w:color w:val="000000"/>
                <w:sz w:val="28"/>
                <w:lang w:val="ru-RU" w:eastAsia="ru-RU" w:bidi="ru-RU"/>
              </w:rPr>
              <w:t>Федеральный закон</w:t>
            </w:r>
          </w:p>
          <w:p w:rsidR="001A32A6" w:rsidRPr="001A32A6" w:rsidRDefault="001A32A6" w:rsidP="001A32A6">
            <w:pPr>
              <w:spacing w:before="38"/>
              <w:ind w:left="108" w:right="444"/>
              <w:rPr>
                <w:rFonts w:ascii="Times New Roman" w:eastAsia="Times New Roman" w:hAnsi="Times New Roman" w:cs="Times New Roman"/>
                <w:color w:val="000000"/>
                <w:sz w:val="28"/>
                <w:lang w:val="ru-RU" w:eastAsia="ru-RU" w:bidi="ru-RU"/>
              </w:rPr>
            </w:pPr>
            <w:r w:rsidRPr="001A32A6">
              <w:rPr>
                <w:rFonts w:ascii="Times New Roman" w:eastAsia="Times New Roman" w:hAnsi="Times New Roman" w:cs="Times New Roman"/>
                <w:color w:val="000000"/>
                <w:sz w:val="28"/>
                <w:lang w:val="ru-RU" w:eastAsia="ru-RU" w:bidi="ru-RU"/>
              </w:rPr>
              <w:t>Приказ</w:t>
            </w:r>
          </w:p>
          <w:p w:rsidR="001A32A6" w:rsidRPr="001A32A6" w:rsidRDefault="001A32A6" w:rsidP="001A32A6">
            <w:pPr>
              <w:spacing w:before="38"/>
              <w:ind w:left="108" w:right="444"/>
              <w:rPr>
                <w:rFonts w:ascii="Times New Roman" w:eastAsia="Times New Roman" w:hAnsi="Times New Roman" w:cs="Times New Roman"/>
                <w:color w:val="000000"/>
                <w:sz w:val="28"/>
                <w:lang w:val="ru-RU" w:eastAsia="ru-RU" w:bidi="ru-RU"/>
              </w:rPr>
            </w:pPr>
            <w:r w:rsidRPr="001A32A6">
              <w:rPr>
                <w:rFonts w:ascii="Times New Roman" w:eastAsia="Times New Roman" w:hAnsi="Times New Roman" w:cs="Times New Roman"/>
                <w:color w:val="000000"/>
                <w:sz w:val="28"/>
                <w:lang w:val="ru-RU" w:eastAsia="ru-RU" w:bidi="ru-RU"/>
              </w:rPr>
              <w:t>Минстрой России</w:t>
            </w:r>
          </w:p>
        </w:tc>
        <w:tc>
          <w:tcPr>
            <w:tcW w:w="20" w:type="dxa"/>
          </w:tcPr>
          <w:p w:rsidR="001A32A6" w:rsidRPr="001A32A6" w:rsidRDefault="001A32A6" w:rsidP="001A32A6">
            <w:pPr>
              <w:spacing w:before="38"/>
              <w:ind w:left="105" w:right="127"/>
              <w:rPr>
                <w:rFonts w:ascii="Times New Roman" w:eastAsia="Times New Roman" w:hAnsi="Times New Roman" w:cs="Times New Roman"/>
                <w:color w:val="FF0000"/>
                <w:sz w:val="28"/>
                <w:lang w:val="ru-RU" w:eastAsia="ru-RU" w:bidi="ru-RU"/>
              </w:rPr>
            </w:pPr>
          </w:p>
        </w:tc>
      </w:tr>
      <w:tr w:rsidR="001A32A6" w:rsidRPr="001A32A6" w:rsidTr="00D617A7">
        <w:trPr>
          <w:trHeight w:val="1711"/>
        </w:trPr>
        <w:tc>
          <w:tcPr>
            <w:tcW w:w="626" w:type="dxa"/>
          </w:tcPr>
          <w:p w:rsidR="001A32A6" w:rsidRPr="001A32A6" w:rsidRDefault="001A32A6" w:rsidP="001A32A6">
            <w:pPr>
              <w:spacing w:before="38"/>
              <w:ind w:left="107"/>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lang w:val="ru-RU" w:eastAsia="ru-RU" w:bidi="ru-RU"/>
              </w:rPr>
              <w:t>2</w:t>
            </w:r>
            <w:r>
              <w:rPr>
                <w:rFonts w:ascii="Times New Roman" w:eastAsia="Times New Roman" w:hAnsi="Times New Roman" w:cs="Times New Roman"/>
                <w:color w:val="000000"/>
                <w:sz w:val="28"/>
                <w:lang w:eastAsia="ru-RU" w:bidi="ru-RU"/>
              </w:rPr>
              <w:t>.</w:t>
            </w:r>
            <w:r>
              <w:rPr>
                <w:rFonts w:ascii="Times New Roman" w:eastAsia="Times New Roman" w:hAnsi="Times New Roman" w:cs="Times New Roman"/>
                <w:color w:val="000000"/>
                <w:sz w:val="28"/>
                <w:lang w:val="ru-RU" w:eastAsia="ru-RU" w:bidi="ru-RU"/>
              </w:rPr>
              <w:t>4</w:t>
            </w:r>
            <w:r w:rsidRPr="001A32A6">
              <w:rPr>
                <w:rFonts w:ascii="Times New Roman" w:eastAsia="Times New Roman" w:hAnsi="Times New Roman" w:cs="Times New Roman"/>
                <w:color w:val="000000"/>
                <w:sz w:val="28"/>
                <w:lang w:eastAsia="ru-RU" w:bidi="ru-RU"/>
              </w:rPr>
              <w:t>.</w:t>
            </w:r>
          </w:p>
        </w:tc>
        <w:tc>
          <w:tcPr>
            <w:tcW w:w="8387" w:type="dxa"/>
          </w:tcPr>
          <w:p w:rsidR="001A32A6" w:rsidRPr="001A32A6" w:rsidRDefault="001A32A6" w:rsidP="001A32A6">
            <w:pPr>
              <w:spacing w:before="38"/>
              <w:ind w:left="108" w:right="95"/>
              <w:jc w:val="both"/>
              <w:rPr>
                <w:rFonts w:ascii="Times New Roman" w:eastAsia="Times New Roman" w:hAnsi="Times New Roman" w:cs="Times New Roman"/>
                <w:color w:val="000000"/>
                <w:sz w:val="28"/>
                <w:lang w:val="ru-RU" w:eastAsia="ru-RU" w:bidi="ru-RU"/>
              </w:rPr>
            </w:pPr>
            <w:r w:rsidRPr="001A32A6">
              <w:rPr>
                <w:rFonts w:ascii="Times New Roman" w:eastAsia="Times New Roman" w:hAnsi="Times New Roman" w:cs="Times New Roman"/>
                <w:color w:val="000000"/>
                <w:sz w:val="28"/>
                <w:lang w:val="ru-RU" w:eastAsia="ru-RU" w:bidi="ru-RU"/>
              </w:rPr>
              <w:t>Не вводить для строительной отрасли обязательность института независимой оценки квалификации</w:t>
            </w:r>
          </w:p>
          <w:p w:rsidR="001A32A6" w:rsidRPr="001A32A6" w:rsidRDefault="001A32A6" w:rsidP="001A32A6">
            <w:pPr>
              <w:spacing w:before="38"/>
              <w:ind w:left="108" w:right="95"/>
              <w:jc w:val="both"/>
              <w:rPr>
                <w:rFonts w:ascii="Times New Roman" w:eastAsia="Times New Roman" w:hAnsi="Times New Roman" w:cs="Times New Roman"/>
                <w:i/>
                <w:color w:val="000000"/>
                <w:sz w:val="28"/>
                <w:u w:val="single"/>
                <w:lang w:val="ru-RU" w:eastAsia="ru-RU" w:bidi="ru-RU"/>
              </w:rPr>
            </w:pPr>
            <w:proofErr w:type="gramStart"/>
            <w:r w:rsidRPr="001A32A6">
              <w:rPr>
                <w:rFonts w:ascii="Times New Roman" w:eastAsia="Times New Roman" w:hAnsi="Times New Roman" w:cs="Times New Roman"/>
                <w:i/>
                <w:color w:val="000000"/>
                <w:sz w:val="28"/>
                <w:u w:val="single"/>
                <w:lang w:val="ru-RU" w:eastAsia="ru-RU" w:bidi="ru-RU"/>
              </w:rPr>
              <w:t>(В настоящее время в Госдуму Депутатом ГД РФ Епифановой О.Н. внесен законопроект № 934502-7 «О внесении изменений в ст. 55.5-1 Градостроительного кодекса Российской Федерации», которым предусматривается в дополнение к повышению квалификации при внесении в НРС специалистов обязательность прохождение независимой оценки квалификации.</w:t>
            </w:r>
            <w:proofErr w:type="gramEnd"/>
            <w:r w:rsidRPr="001A32A6">
              <w:rPr>
                <w:rFonts w:ascii="Times New Roman" w:eastAsia="Times New Roman" w:hAnsi="Times New Roman" w:cs="Times New Roman"/>
                <w:i/>
                <w:color w:val="000000"/>
                <w:sz w:val="28"/>
                <w:u w:val="single"/>
                <w:lang w:val="ru-RU" w:eastAsia="ru-RU" w:bidi="ru-RU"/>
              </w:rPr>
              <w:t xml:space="preserve"> </w:t>
            </w:r>
            <w:proofErr w:type="gramStart"/>
            <w:r w:rsidRPr="001A32A6">
              <w:rPr>
                <w:rFonts w:ascii="Times New Roman" w:eastAsia="Times New Roman" w:hAnsi="Times New Roman" w:cs="Times New Roman"/>
                <w:i/>
                <w:color w:val="000000"/>
                <w:sz w:val="28"/>
                <w:u w:val="single"/>
                <w:lang w:val="ru-RU" w:eastAsia="ru-RU" w:bidi="ru-RU"/>
              </w:rPr>
              <w:t xml:space="preserve">Введение обязательности оценки квалификации  подразумевает создание центров оценки квалификации или экзаменационных площадок, обучение экспертов, содержание в дальнейшем центров или </w:t>
            </w:r>
            <w:r w:rsidRPr="001A32A6">
              <w:rPr>
                <w:rFonts w:ascii="Times New Roman" w:eastAsia="Times New Roman" w:hAnsi="Times New Roman" w:cs="Times New Roman"/>
                <w:i/>
                <w:color w:val="000000"/>
                <w:sz w:val="28"/>
                <w:u w:val="single"/>
                <w:lang w:val="ru-RU" w:eastAsia="ru-RU" w:bidi="ru-RU"/>
              </w:rPr>
              <w:lastRenderedPageBreak/>
              <w:t xml:space="preserve">площадок, разработку дорогостоящих программных продуктов, постоянное обновление  экзаменационных вопросов, отрыв от производства строителей,  требует значительных затрат и не будет способствовать развитию строительства которое, как известно, является локомотивом экономики, тем более в настоящее время). </w:t>
            </w:r>
            <w:proofErr w:type="gramEnd"/>
          </w:p>
        </w:tc>
        <w:tc>
          <w:tcPr>
            <w:tcW w:w="6697" w:type="dxa"/>
          </w:tcPr>
          <w:p w:rsidR="001A32A6" w:rsidRPr="001A32A6" w:rsidRDefault="001A32A6" w:rsidP="001A32A6">
            <w:pPr>
              <w:spacing w:before="38"/>
              <w:ind w:left="108" w:right="444"/>
              <w:rPr>
                <w:rFonts w:ascii="Times New Roman" w:eastAsia="Times New Roman" w:hAnsi="Times New Roman" w:cs="Times New Roman"/>
                <w:color w:val="000000"/>
                <w:sz w:val="28"/>
                <w:lang w:eastAsia="ru-RU" w:bidi="ru-RU"/>
              </w:rPr>
            </w:pPr>
            <w:proofErr w:type="spellStart"/>
            <w:r w:rsidRPr="001A32A6">
              <w:rPr>
                <w:rFonts w:ascii="Times New Roman" w:eastAsia="Times New Roman" w:hAnsi="Times New Roman" w:cs="Times New Roman"/>
                <w:color w:val="000000"/>
                <w:sz w:val="28"/>
                <w:lang w:eastAsia="ru-RU" w:bidi="ru-RU"/>
              </w:rPr>
              <w:lastRenderedPageBreak/>
              <w:t>Минстрой</w:t>
            </w:r>
            <w:proofErr w:type="spellEnd"/>
          </w:p>
        </w:tc>
        <w:tc>
          <w:tcPr>
            <w:tcW w:w="20" w:type="dxa"/>
          </w:tcPr>
          <w:p w:rsidR="001A32A6" w:rsidRPr="001A32A6" w:rsidRDefault="001A32A6" w:rsidP="001A32A6">
            <w:pPr>
              <w:spacing w:before="38"/>
              <w:ind w:left="105" w:right="290"/>
              <w:rPr>
                <w:rFonts w:ascii="Times New Roman" w:eastAsia="Times New Roman" w:hAnsi="Times New Roman" w:cs="Times New Roman"/>
                <w:color w:val="FF0000"/>
                <w:sz w:val="28"/>
                <w:lang w:eastAsia="ru-RU" w:bidi="ru-RU"/>
              </w:rPr>
            </w:pPr>
          </w:p>
        </w:tc>
      </w:tr>
      <w:tr w:rsidR="001A32A6" w:rsidRPr="001A32A6" w:rsidTr="00D617A7">
        <w:trPr>
          <w:trHeight w:val="1711"/>
        </w:trPr>
        <w:tc>
          <w:tcPr>
            <w:tcW w:w="626" w:type="dxa"/>
          </w:tcPr>
          <w:p w:rsidR="001A32A6" w:rsidRPr="001A32A6" w:rsidRDefault="001A32A6" w:rsidP="001A32A6">
            <w:pPr>
              <w:spacing w:before="38"/>
              <w:ind w:left="107"/>
              <w:rPr>
                <w:rFonts w:ascii="Times New Roman" w:eastAsia="Times New Roman" w:hAnsi="Times New Roman" w:cs="Times New Roman"/>
                <w:color w:val="000000"/>
                <w:sz w:val="28"/>
                <w:lang w:eastAsia="ru-RU" w:bidi="ru-RU"/>
              </w:rPr>
            </w:pPr>
            <w:r>
              <w:rPr>
                <w:rFonts w:ascii="Times New Roman" w:eastAsia="Times New Roman" w:hAnsi="Times New Roman" w:cs="Times New Roman"/>
                <w:color w:val="000000"/>
                <w:sz w:val="28"/>
                <w:lang w:val="ru-RU" w:eastAsia="ru-RU" w:bidi="ru-RU"/>
              </w:rPr>
              <w:lastRenderedPageBreak/>
              <w:t>2</w:t>
            </w:r>
            <w:r>
              <w:rPr>
                <w:rFonts w:ascii="Times New Roman" w:eastAsia="Times New Roman" w:hAnsi="Times New Roman" w:cs="Times New Roman"/>
                <w:color w:val="000000"/>
                <w:sz w:val="28"/>
                <w:lang w:eastAsia="ru-RU" w:bidi="ru-RU"/>
              </w:rPr>
              <w:t>.</w:t>
            </w:r>
            <w:r>
              <w:rPr>
                <w:rFonts w:ascii="Times New Roman" w:eastAsia="Times New Roman" w:hAnsi="Times New Roman" w:cs="Times New Roman"/>
                <w:color w:val="000000"/>
                <w:sz w:val="28"/>
                <w:lang w:val="ru-RU" w:eastAsia="ru-RU" w:bidi="ru-RU"/>
              </w:rPr>
              <w:t>5</w:t>
            </w:r>
            <w:r w:rsidRPr="001A32A6">
              <w:rPr>
                <w:rFonts w:ascii="Times New Roman" w:eastAsia="Times New Roman" w:hAnsi="Times New Roman" w:cs="Times New Roman"/>
                <w:color w:val="000000"/>
                <w:sz w:val="28"/>
                <w:lang w:eastAsia="ru-RU" w:bidi="ru-RU"/>
              </w:rPr>
              <w:t>.</w:t>
            </w:r>
          </w:p>
        </w:tc>
        <w:tc>
          <w:tcPr>
            <w:tcW w:w="8387" w:type="dxa"/>
          </w:tcPr>
          <w:p w:rsidR="001A32A6" w:rsidRPr="001A32A6" w:rsidRDefault="001A32A6" w:rsidP="001A32A6">
            <w:pPr>
              <w:spacing w:before="38"/>
              <w:ind w:left="108" w:right="95"/>
              <w:jc w:val="both"/>
              <w:rPr>
                <w:rFonts w:ascii="Times New Roman" w:eastAsia="Times New Roman" w:hAnsi="Times New Roman" w:cs="Times New Roman"/>
                <w:color w:val="000000"/>
                <w:sz w:val="28"/>
                <w:lang w:val="ru-RU" w:eastAsia="ru-RU" w:bidi="ru-RU"/>
              </w:rPr>
            </w:pPr>
            <w:proofErr w:type="gramStart"/>
            <w:r w:rsidRPr="001A32A6">
              <w:rPr>
                <w:rFonts w:ascii="Times New Roman" w:eastAsia="Times New Roman" w:hAnsi="Times New Roman" w:cs="Times New Roman"/>
                <w:color w:val="000000"/>
                <w:sz w:val="28"/>
                <w:lang w:val="ru-RU" w:eastAsia="ru-RU" w:bidi="ru-RU"/>
              </w:rPr>
              <w:t xml:space="preserve">Установить уровень ответственности члена саморегулируемой организации, который планирует осуществлять строительство, реконструкцию, снос, капитальный ремонт объекта капитального строительства, стоимость которого по одному договору не превышает сто пятьдесят миллионов рублей (второй уровень ответственности) с внесением минимального размера взноса в компенсационный фонд  возмещения вреда в размере  ста пятидесяти тысяч рублей, обеспечения договорных обязательств - трехсот пятидесяти тысяч рублей. </w:t>
            </w:r>
            <w:proofErr w:type="gramEnd"/>
          </w:p>
          <w:p w:rsidR="001A32A6" w:rsidRPr="001A32A6" w:rsidRDefault="001A32A6" w:rsidP="001A32A6">
            <w:pPr>
              <w:spacing w:before="38"/>
              <w:ind w:left="108" w:right="95"/>
              <w:jc w:val="both"/>
              <w:rPr>
                <w:rFonts w:ascii="Times New Roman" w:eastAsia="Times New Roman" w:hAnsi="Times New Roman" w:cs="Times New Roman"/>
                <w:color w:val="000000"/>
                <w:sz w:val="28"/>
                <w:lang w:val="ru-RU" w:eastAsia="ru-RU" w:bidi="ru-RU"/>
              </w:rPr>
            </w:pPr>
            <w:proofErr w:type="gramStart"/>
            <w:r w:rsidRPr="001A32A6">
              <w:rPr>
                <w:rFonts w:ascii="Times New Roman" w:eastAsia="Times New Roman" w:hAnsi="Times New Roman" w:cs="Times New Roman"/>
                <w:i/>
                <w:color w:val="000000"/>
                <w:sz w:val="28"/>
                <w:u w:val="single"/>
                <w:lang w:val="ru-RU" w:eastAsia="ru-RU" w:bidi="ru-RU"/>
              </w:rPr>
              <w:t>(В настоящее время в  ст. 55.16.</w:t>
            </w:r>
            <w:proofErr w:type="gramEnd"/>
            <w:r w:rsidRPr="001A32A6">
              <w:rPr>
                <w:rFonts w:ascii="Times New Roman" w:eastAsia="Times New Roman" w:hAnsi="Times New Roman" w:cs="Times New Roman"/>
                <w:i/>
                <w:color w:val="000000"/>
                <w:sz w:val="28"/>
                <w:u w:val="single"/>
                <w:lang w:val="ru-RU" w:eastAsia="ru-RU" w:bidi="ru-RU"/>
              </w:rPr>
              <w:t xml:space="preserve"> </w:t>
            </w:r>
            <w:proofErr w:type="spellStart"/>
            <w:r w:rsidRPr="001A32A6">
              <w:rPr>
                <w:rFonts w:ascii="Times New Roman" w:eastAsia="Times New Roman" w:hAnsi="Times New Roman" w:cs="Times New Roman"/>
                <w:i/>
                <w:color w:val="000000"/>
                <w:sz w:val="28"/>
                <w:u w:val="single"/>
                <w:lang w:val="ru-RU" w:eastAsia="ru-RU" w:bidi="ru-RU"/>
              </w:rPr>
              <w:t>ГрК</w:t>
            </w:r>
            <w:proofErr w:type="spellEnd"/>
            <w:r w:rsidRPr="001A32A6">
              <w:rPr>
                <w:rFonts w:ascii="Times New Roman" w:eastAsia="Times New Roman" w:hAnsi="Times New Roman" w:cs="Times New Roman"/>
                <w:i/>
                <w:color w:val="000000"/>
                <w:sz w:val="28"/>
                <w:u w:val="single"/>
                <w:lang w:val="ru-RU" w:eastAsia="ru-RU" w:bidi="ru-RU"/>
              </w:rPr>
              <w:t xml:space="preserve"> РФ установлены 6 уровней ответственности, при этом первый уровень разрешает организации участвовать в конкурсах (аукционах) до 60  000 000 рублей с  внесением в компенсационные фонды  (</w:t>
            </w:r>
            <w:proofErr w:type="spellStart"/>
            <w:r w:rsidRPr="001A32A6">
              <w:rPr>
                <w:rFonts w:ascii="Times New Roman" w:eastAsia="Times New Roman" w:hAnsi="Times New Roman" w:cs="Times New Roman"/>
                <w:i/>
                <w:color w:val="000000"/>
                <w:sz w:val="28"/>
                <w:u w:val="single"/>
                <w:lang w:val="ru-RU" w:eastAsia="ru-RU" w:bidi="ru-RU"/>
              </w:rPr>
              <w:t>единоразово</w:t>
            </w:r>
            <w:proofErr w:type="spellEnd"/>
            <w:r w:rsidRPr="001A32A6">
              <w:rPr>
                <w:rFonts w:ascii="Times New Roman" w:eastAsia="Times New Roman" w:hAnsi="Times New Roman" w:cs="Times New Roman"/>
                <w:i/>
                <w:color w:val="000000"/>
                <w:sz w:val="28"/>
                <w:u w:val="single"/>
                <w:lang w:val="ru-RU" w:eastAsia="ru-RU" w:bidi="ru-RU"/>
              </w:rPr>
              <w:t>) 100 000 и 200 000 руб., а дале</w:t>
            </w:r>
            <w:proofErr w:type="gramStart"/>
            <w:r w:rsidRPr="001A32A6">
              <w:rPr>
                <w:rFonts w:ascii="Times New Roman" w:eastAsia="Times New Roman" w:hAnsi="Times New Roman" w:cs="Times New Roman"/>
                <w:i/>
                <w:color w:val="000000"/>
                <w:sz w:val="28"/>
                <w:u w:val="single"/>
                <w:lang w:val="ru-RU" w:eastAsia="ru-RU" w:bidi="ru-RU"/>
              </w:rPr>
              <w:t>е-</w:t>
            </w:r>
            <w:proofErr w:type="gramEnd"/>
            <w:r w:rsidRPr="001A32A6">
              <w:rPr>
                <w:rFonts w:ascii="Times New Roman" w:eastAsia="Times New Roman" w:hAnsi="Times New Roman" w:cs="Times New Roman"/>
                <w:i/>
                <w:color w:val="000000"/>
                <w:sz w:val="28"/>
                <w:u w:val="single"/>
                <w:lang w:val="ru-RU" w:eastAsia="ru-RU" w:bidi="ru-RU"/>
              </w:rPr>
              <w:t xml:space="preserve"> в </w:t>
            </w:r>
            <w:proofErr w:type="spellStart"/>
            <w:r w:rsidRPr="001A32A6">
              <w:rPr>
                <w:rFonts w:ascii="Times New Roman" w:eastAsia="Times New Roman" w:hAnsi="Times New Roman" w:cs="Times New Roman"/>
                <w:i/>
                <w:color w:val="000000"/>
                <w:sz w:val="28"/>
                <w:u w:val="single"/>
                <w:lang w:val="ru-RU" w:eastAsia="ru-RU" w:bidi="ru-RU"/>
              </w:rPr>
              <w:t>ГрК</w:t>
            </w:r>
            <w:proofErr w:type="spellEnd"/>
            <w:r w:rsidRPr="001A32A6">
              <w:rPr>
                <w:rFonts w:ascii="Times New Roman" w:eastAsia="Times New Roman" w:hAnsi="Times New Roman" w:cs="Times New Roman"/>
                <w:i/>
                <w:color w:val="000000"/>
                <w:sz w:val="28"/>
                <w:u w:val="single"/>
                <w:lang w:val="ru-RU" w:eastAsia="ru-RU" w:bidi="ru-RU"/>
              </w:rPr>
              <w:t xml:space="preserve"> РФ предусмотрен второй уровень ответственности с участием в конкурсах (аукционах) до 500 000 000 руб. и внесением (</w:t>
            </w:r>
            <w:proofErr w:type="spellStart"/>
            <w:r w:rsidRPr="001A32A6">
              <w:rPr>
                <w:rFonts w:ascii="Times New Roman" w:eastAsia="Times New Roman" w:hAnsi="Times New Roman" w:cs="Times New Roman"/>
                <w:i/>
                <w:color w:val="000000"/>
                <w:sz w:val="28"/>
                <w:u w:val="single"/>
                <w:lang w:val="ru-RU" w:eastAsia="ru-RU" w:bidi="ru-RU"/>
              </w:rPr>
              <w:t>единоразово</w:t>
            </w:r>
            <w:proofErr w:type="spellEnd"/>
            <w:r w:rsidRPr="001A32A6">
              <w:rPr>
                <w:rFonts w:ascii="Times New Roman" w:eastAsia="Times New Roman" w:hAnsi="Times New Roman" w:cs="Times New Roman"/>
                <w:i/>
                <w:color w:val="000000"/>
                <w:sz w:val="28"/>
                <w:u w:val="single"/>
                <w:lang w:val="ru-RU" w:eastAsia="ru-RU" w:bidi="ru-RU"/>
              </w:rPr>
              <w:t>) в компенсационные фонды возмещения вреда и обеспечения договорных обязательств 500 000 руб. и 2 500 000 руб. соответственно. Предлагаем установить 7 уровней ответственности с введением второго уровня ответственности - 150 000 000 руб. Данное предложение позволит сократить расходы организаций на уплату взносов в компенсационные фонды при размещении заказов до 150 000 000 руб., а так же расширит круг конкурентных организаций для участия в конкурса</w:t>
            </w:r>
            <w:proofErr w:type="gramStart"/>
            <w:r w:rsidRPr="001A32A6">
              <w:rPr>
                <w:rFonts w:ascii="Times New Roman" w:eastAsia="Times New Roman" w:hAnsi="Times New Roman" w:cs="Times New Roman"/>
                <w:i/>
                <w:color w:val="000000"/>
                <w:sz w:val="28"/>
                <w:u w:val="single"/>
                <w:lang w:val="ru-RU" w:eastAsia="ru-RU" w:bidi="ru-RU"/>
              </w:rPr>
              <w:t>х(</w:t>
            </w:r>
            <w:proofErr w:type="gramEnd"/>
            <w:r w:rsidRPr="001A32A6">
              <w:rPr>
                <w:rFonts w:ascii="Times New Roman" w:eastAsia="Times New Roman" w:hAnsi="Times New Roman" w:cs="Times New Roman"/>
                <w:i/>
                <w:color w:val="000000"/>
                <w:sz w:val="28"/>
                <w:u w:val="single"/>
                <w:lang w:val="ru-RU" w:eastAsia="ru-RU" w:bidi="ru-RU"/>
              </w:rPr>
              <w:t>аукционах).</w:t>
            </w:r>
          </w:p>
          <w:p w:rsidR="001A32A6" w:rsidRPr="001A32A6" w:rsidRDefault="001A32A6" w:rsidP="001A32A6">
            <w:pPr>
              <w:spacing w:before="38"/>
              <w:ind w:left="108" w:right="95"/>
              <w:jc w:val="both"/>
              <w:rPr>
                <w:rFonts w:ascii="Times New Roman" w:eastAsia="Times New Roman" w:hAnsi="Times New Roman" w:cs="Times New Roman"/>
                <w:color w:val="000000"/>
                <w:sz w:val="28"/>
                <w:lang w:val="ru-RU" w:eastAsia="ru-RU" w:bidi="ru-RU"/>
              </w:rPr>
            </w:pPr>
            <w:r w:rsidRPr="001A32A6">
              <w:rPr>
                <w:rFonts w:ascii="Times New Roman" w:eastAsia="Times New Roman" w:hAnsi="Times New Roman" w:cs="Times New Roman"/>
                <w:color w:val="000000"/>
                <w:sz w:val="28"/>
                <w:lang w:val="ru-RU" w:eastAsia="ru-RU" w:bidi="ru-RU"/>
              </w:rPr>
              <w:t xml:space="preserve">   </w:t>
            </w:r>
          </w:p>
        </w:tc>
        <w:tc>
          <w:tcPr>
            <w:tcW w:w="6697" w:type="dxa"/>
          </w:tcPr>
          <w:p w:rsidR="001A32A6" w:rsidRPr="001A32A6" w:rsidRDefault="001A32A6" w:rsidP="001A32A6">
            <w:pPr>
              <w:spacing w:before="38"/>
              <w:ind w:left="108" w:right="444"/>
              <w:rPr>
                <w:rFonts w:ascii="Times New Roman" w:eastAsia="Times New Roman" w:hAnsi="Times New Roman" w:cs="Times New Roman"/>
                <w:color w:val="000000" w:themeColor="text1"/>
                <w:sz w:val="28"/>
                <w:lang w:val="ru-RU" w:eastAsia="ru-RU" w:bidi="ru-RU"/>
              </w:rPr>
            </w:pPr>
            <w:r w:rsidRPr="001A32A6">
              <w:rPr>
                <w:rFonts w:ascii="Times New Roman" w:eastAsia="Times New Roman" w:hAnsi="Times New Roman" w:cs="Times New Roman"/>
                <w:color w:val="000000" w:themeColor="text1"/>
                <w:sz w:val="28"/>
                <w:lang w:val="ru-RU" w:eastAsia="ru-RU" w:bidi="ru-RU"/>
              </w:rPr>
              <w:t>Федеральный закон</w:t>
            </w:r>
          </w:p>
          <w:p w:rsidR="001A32A6" w:rsidRPr="001A32A6" w:rsidRDefault="001A32A6" w:rsidP="001A32A6">
            <w:pPr>
              <w:spacing w:before="38"/>
              <w:ind w:left="108" w:right="444"/>
              <w:rPr>
                <w:rFonts w:ascii="Times New Roman" w:eastAsia="Times New Roman" w:hAnsi="Times New Roman" w:cs="Times New Roman"/>
                <w:color w:val="000000" w:themeColor="text1"/>
                <w:sz w:val="28"/>
                <w:lang w:val="ru-RU" w:eastAsia="ru-RU" w:bidi="ru-RU"/>
              </w:rPr>
            </w:pPr>
            <w:r w:rsidRPr="001A32A6">
              <w:rPr>
                <w:rFonts w:ascii="Times New Roman" w:eastAsia="Times New Roman" w:hAnsi="Times New Roman" w:cs="Times New Roman"/>
                <w:color w:val="000000" w:themeColor="text1"/>
                <w:sz w:val="28"/>
                <w:lang w:val="ru-RU" w:eastAsia="ru-RU" w:bidi="ru-RU"/>
              </w:rPr>
              <w:t>Минстрой</w:t>
            </w:r>
          </w:p>
          <w:p w:rsidR="001A32A6" w:rsidRPr="001A32A6" w:rsidRDefault="001A32A6" w:rsidP="001A32A6">
            <w:pPr>
              <w:spacing w:before="38"/>
              <w:ind w:left="108" w:right="114"/>
              <w:rPr>
                <w:rFonts w:ascii="Times New Roman" w:eastAsia="Times New Roman" w:hAnsi="Times New Roman" w:cs="Times New Roman"/>
                <w:color w:val="000000" w:themeColor="text1"/>
                <w:sz w:val="28"/>
                <w:lang w:val="ru-RU" w:eastAsia="ru-RU" w:bidi="ru-RU"/>
              </w:rPr>
            </w:pPr>
            <w:r w:rsidRPr="001A32A6">
              <w:rPr>
                <w:rFonts w:ascii="Times New Roman" w:eastAsia="Times New Roman" w:hAnsi="Times New Roman" w:cs="Times New Roman"/>
                <w:color w:val="000000" w:themeColor="text1"/>
                <w:sz w:val="28"/>
                <w:lang w:val="ru-RU" w:eastAsia="ru-RU" w:bidi="ru-RU"/>
              </w:rPr>
              <w:t>Минэкономразвития России</w:t>
            </w:r>
          </w:p>
          <w:p w:rsidR="001A32A6" w:rsidRPr="001A32A6" w:rsidRDefault="001A32A6" w:rsidP="001A32A6">
            <w:pPr>
              <w:spacing w:before="38"/>
              <w:ind w:left="108" w:right="444"/>
              <w:rPr>
                <w:rFonts w:ascii="Times New Roman" w:eastAsia="Times New Roman" w:hAnsi="Times New Roman" w:cs="Times New Roman"/>
                <w:color w:val="FF0000"/>
                <w:sz w:val="28"/>
                <w:lang w:val="ru-RU" w:eastAsia="ru-RU" w:bidi="ru-RU"/>
              </w:rPr>
            </w:pPr>
            <w:r w:rsidRPr="001A32A6">
              <w:rPr>
                <w:rFonts w:ascii="Times New Roman" w:eastAsia="Times New Roman" w:hAnsi="Times New Roman" w:cs="Times New Roman"/>
                <w:color w:val="000000" w:themeColor="text1"/>
                <w:sz w:val="28"/>
                <w:lang w:val="ru-RU" w:eastAsia="ru-RU" w:bidi="ru-RU"/>
              </w:rPr>
              <w:t>Минфин России</w:t>
            </w:r>
          </w:p>
        </w:tc>
        <w:tc>
          <w:tcPr>
            <w:tcW w:w="20" w:type="dxa"/>
          </w:tcPr>
          <w:p w:rsidR="001A32A6" w:rsidRPr="001A32A6" w:rsidRDefault="001A32A6" w:rsidP="001A32A6">
            <w:pPr>
              <w:spacing w:before="38"/>
              <w:ind w:left="105" w:right="290"/>
              <w:rPr>
                <w:rFonts w:ascii="Times New Roman" w:eastAsia="Times New Roman" w:hAnsi="Times New Roman" w:cs="Times New Roman"/>
                <w:color w:val="FF0000"/>
                <w:sz w:val="28"/>
                <w:lang w:val="ru-RU" w:eastAsia="ru-RU" w:bidi="ru-RU"/>
              </w:rPr>
            </w:pPr>
          </w:p>
        </w:tc>
      </w:tr>
    </w:tbl>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8387"/>
        <w:gridCol w:w="6605"/>
        <w:gridCol w:w="112"/>
      </w:tblGrid>
      <w:tr w:rsidR="001A32A6" w:rsidRPr="001A32A6" w:rsidTr="0076220D">
        <w:trPr>
          <w:trHeight w:val="421"/>
        </w:trPr>
        <w:tc>
          <w:tcPr>
            <w:tcW w:w="626" w:type="dxa"/>
            <w:shd w:val="clear" w:color="auto" w:fill="D9E1F3"/>
          </w:tcPr>
          <w:p w:rsidR="001A32A6" w:rsidRPr="001A32A6" w:rsidRDefault="001A32A6" w:rsidP="001A32A6">
            <w:pPr>
              <w:spacing w:before="43"/>
              <w:ind w:left="107"/>
              <w:rPr>
                <w:rFonts w:ascii="Times New Roman" w:eastAsia="Times New Roman" w:hAnsi="Times New Roman" w:cs="Times New Roman"/>
                <w:b/>
                <w:sz w:val="28"/>
                <w:lang w:val="ru-RU" w:eastAsia="ru-RU" w:bidi="ru-RU"/>
              </w:rPr>
            </w:pPr>
            <w:r w:rsidRPr="001A32A6">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3F536B1" wp14:editId="614002EF">
                      <wp:simplePos x="0" y="0"/>
                      <wp:positionH relativeFrom="page">
                        <wp:posOffset>233045</wp:posOffset>
                      </wp:positionH>
                      <wp:positionV relativeFrom="page">
                        <wp:posOffset>4921885</wp:posOffset>
                      </wp:positionV>
                      <wp:extent cx="0" cy="220535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53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5pt,387.55pt" to="18.35pt,5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c7EAIAACg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" strokeweight=".72pt">
                      <w10:wrap anchorx="page" anchory="page"/>
                    </v:line>
                  </w:pict>
                </mc:Fallback>
              </mc:AlternateContent>
            </w:r>
            <w:r>
              <w:rPr>
                <w:rFonts w:ascii="Times New Roman" w:eastAsia="Times New Roman" w:hAnsi="Times New Roman" w:cs="Times New Roman"/>
                <w:b/>
                <w:sz w:val="28"/>
                <w:lang w:val="ru-RU" w:eastAsia="ru-RU" w:bidi="ru-RU"/>
              </w:rPr>
              <w:t>3</w:t>
            </w:r>
          </w:p>
        </w:tc>
        <w:tc>
          <w:tcPr>
            <w:tcW w:w="15104" w:type="dxa"/>
            <w:gridSpan w:val="3"/>
            <w:shd w:val="clear" w:color="auto" w:fill="D9E1F3"/>
          </w:tcPr>
          <w:p w:rsidR="001A32A6" w:rsidRPr="001A32A6" w:rsidRDefault="001A32A6" w:rsidP="001A32A6">
            <w:pPr>
              <w:spacing w:before="43"/>
              <w:ind w:left="108"/>
              <w:rPr>
                <w:rFonts w:ascii="Times New Roman" w:eastAsia="Times New Roman" w:hAnsi="Times New Roman" w:cs="Times New Roman"/>
                <w:b/>
                <w:sz w:val="28"/>
                <w:lang w:eastAsia="ru-RU" w:bidi="ru-RU"/>
              </w:rPr>
            </w:pPr>
            <w:proofErr w:type="spellStart"/>
            <w:r w:rsidRPr="001A32A6">
              <w:rPr>
                <w:rFonts w:ascii="Times New Roman" w:eastAsia="Times New Roman" w:hAnsi="Times New Roman" w:cs="Times New Roman"/>
                <w:b/>
                <w:sz w:val="28"/>
                <w:lang w:eastAsia="ru-RU" w:bidi="ru-RU"/>
              </w:rPr>
              <w:t>Государственные</w:t>
            </w:r>
            <w:proofErr w:type="spellEnd"/>
            <w:r w:rsidRPr="001A32A6">
              <w:rPr>
                <w:rFonts w:ascii="Times New Roman" w:eastAsia="Times New Roman" w:hAnsi="Times New Roman" w:cs="Times New Roman"/>
                <w:b/>
                <w:sz w:val="28"/>
                <w:lang w:eastAsia="ru-RU" w:bidi="ru-RU"/>
              </w:rPr>
              <w:t xml:space="preserve"> и </w:t>
            </w:r>
            <w:proofErr w:type="spellStart"/>
            <w:r w:rsidRPr="001A32A6">
              <w:rPr>
                <w:rFonts w:ascii="Times New Roman" w:eastAsia="Times New Roman" w:hAnsi="Times New Roman" w:cs="Times New Roman"/>
                <w:b/>
                <w:sz w:val="28"/>
                <w:lang w:eastAsia="ru-RU" w:bidi="ru-RU"/>
              </w:rPr>
              <w:t>муниципальные</w:t>
            </w:r>
            <w:proofErr w:type="spellEnd"/>
            <w:r w:rsidRPr="001A32A6">
              <w:rPr>
                <w:rFonts w:ascii="Times New Roman" w:eastAsia="Times New Roman" w:hAnsi="Times New Roman" w:cs="Times New Roman"/>
                <w:b/>
                <w:sz w:val="28"/>
                <w:lang w:eastAsia="ru-RU" w:bidi="ru-RU"/>
              </w:rPr>
              <w:t xml:space="preserve"> </w:t>
            </w:r>
            <w:proofErr w:type="spellStart"/>
            <w:r w:rsidRPr="001A32A6">
              <w:rPr>
                <w:rFonts w:ascii="Times New Roman" w:eastAsia="Times New Roman" w:hAnsi="Times New Roman" w:cs="Times New Roman"/>
                <w:b/>
                <w:sz w:val="28"/>
                <w:lang w:eastAsia="ru-RU" w:bidi="ru-RU"/>
              </w:rPr>
              <w:t>контракты</w:t>
            </w:r>
            <w:proofErr w:type="spellEnd"/>
          </w:p>
        </w:tc>
      </w:tr>
      <w:tr w:rsidR="001A32A6" w:rsidRPr="001A32A6" w:rsidTr="00D617A7">
        <w:trPr>
          <w:trHeight w:val="1711"/>
        </w:trPr>
        <w:tc>
          <w:tcPr>
            <w:tcW w:w="626" w:type="dxa"/>
          </w:tcPr>
          <w:p w:rsidR="001A32A6" w:rsidRPr="001A32A6" w:rsidRDefault="001A32A6" w:rsidP="001A32A6">
            <w:pPr>
              <w:spacing w:before="38"/>
              <w:ind w:left="107"/>
              <w:rPr>
                <w:rFonts w:ascii="Times New Roman" w:eastAsia="Times New Roman" w:hAnsi="Times New Roman" w:cs="Times New Roman"/>
                <w:sz w:val="28"/>
                <w:lang w:eastAsia="ru-RU" w:bidi="ru-RU"/>
              </w:rPr>
            </w:pPr>
            <w:r>
              <w:rPr>
                <w:rFonts w:ascii="Times New Roman" w:eastAsia="Times New Roman" w:hAnsi="Times New Roman" w:cs="Times New Roman"/>
                <w:sz w:val="28"/>
                <w:lang w:val="ru-RU" w:eastAsia="ru-RU" w:bidi="ru-RU"/>
              </w:rPr>
              <w:lastRenderedPageBreak/>
              <w:t>3</w:t>
            </w:r>
            <w:r w:rsidRPr="001A32A6">
              <w:rPr>
                <w:rFonts w:ascii="Times New Roman" w:eastAsia="Times New Roman" w:hAnsi="Times New Roman" w:cs="Times New Roman"/>
                <w:sz w:val="28"/>
                <w:lang w:eastAsia="ru-RU" w:bidi="ru-RU"/>
              </w:rPr>
              <w:t>.1</w:t>
            </w:r>
          </w:p>
        </w:tc>
        <w:tc>
          <w:tcPr>
            <w:tcW w:w="8387" w:type="dxa"/>
          </w:tcPr>
          <w:p w:rsidR="001A32A6" w:rsidRPr="001A32A6" w:rsidRDefault="001A32A6" w:rsidP="001A32A6">
            <w:pPr>
              <w:spacing w:before="38"/>
              <w:ind w:left="108" w:right="93"/>
              <w:jc w:val="both"/>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Обеспечение максимально возможного авансирования строительства (до 35%) по государственным и муниципальным контрактам.</w:t>
            </w:r>
          </w:p>
        </w:tc>
        <w:tc>
          <w:tcPr>
            <w:tcW w:w="6605" w:type="dxa"/>
          </w:tcPr>
          <w:p w:rsidR="00D617A7" w:rsidRDefault="001A32A6" w:rsidP="001A32A6">
            <w:pPr>
              <w:spacing w:before="38"/>
              <w:ind w:left="108" w:right="114"/>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 xml:space="preserve">Федеральный закон </w:t>
            </w:r>
          </w:p>
          <w:p w:rsidR="001A32A6" w:rsidRPr="001A32A6" w:rsidRDefault="001A32A6" w:rsidP="001A32A6">
            <w:pPr>
              <w:spacing w:before="38"/>
              <w:ind w:left="108" w:right="114"/>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Минэкономразвития России</w:t>
            </w:r>
          </w:p>
          <w:p w:rsidR="00D617A7" w:rsidRDefault="001A32A6" w:rsidP="001A32A6">
            <w:pPr>
              <w:spacing w:line="242" w:lineRule="auto"/>
              <w:ind w:left="108" w:right="444"/>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 xml:space="preserve">Минфин России </w:t>
            </w:r>
          </w:p>
          <w:p w:rsidR="001A32A6" w:rsidRPr="001A32A6" w:rsidRDefault="001A32A6" w:rsidP="001A32A6">
            <w:pPr>
              <w:spacing w:line="242" w:lineRule="auto"/>
              <w:ind w:left="108" w:right="444"/>
              <w:rPr>
                <w:rFonts w:ascii="Times New Roman" w:eastAsia="Times New Roman" w:hAnsi="Times New Roman" w:cs="Times New Roman"/>
                <w:sz w:val="28"/>
                <w:lang w:val="ru-RU" w:eastAsia="ru-RU" w:bidi="ru-RU"/>
              </w:rPr>
            </w:pPr>
            <w:r w:rsidRPr="001A32A6">
              <w:rPr>
                <w:rFonts w:ascii="Times New Roman" w:eastAsia="Times New Roman" w:hAnsi="Times New Roman" w:cs="Times New Roman"/>
                <w:sz w:val="28"/>
                <w:lang w:val="ru-RU" w:eastAsia="ru-RU" w:bidi="ru-RU"/>
              </w:rPr>
              <w:t>Минстрой России</w:t>
            </w:r>
          </w:p>
        </w:tc>
        <w:tc>
          <w:tcPr>
            <w:tcW w:w="112" w:type="dxa"/>
          </w:tcPr>
          <w:p w:rsidR="001A32A6" w:rsidRPr="001A32A6" w:rsidRDefault="001A32A6" w:rsidP="001A32A6">
            <w:pPr>
              <w:spacing w:before="38"/>
              <w:ind w:left="105" w:right="127"/>
              <w:rPr>
                <w:rFonts w:ascii="Times New Roman" w:eastAsia="Times New Roman" w:hAnsi="Times New Roman" w:cs="Times New Roman"/>
                <w:sz w:val="28"/>
                <w:lang w:val="ru-RU" w:eastAsia="ru-RU" w:bidi="ru-RU"/>
              </w:rPr>
            </w:pPr>
          </w:p>
        </w:tc>
      </w:tr>
      <w:tr w:rsidR="00D617A7" w:rsidRPr="001A32A6" w:rsidTr="00D617A7">
        <w:trPr>
          <w:trHeight w:val="1711"/>
        </w:trPr>
        <w:tc>
          <w:tcPr>
            <w:tcW w:w="626" w:type="dxa"/>
          </w:tcPr>
          <w:p w:rsidR="001A32A6" w:rsidRPr="001A32A6" w:rsidRDefault="001A32A6" w:rsidP="001A32A6">
            <w:pPr>
              <w:spacing w:before="38"/>
              <w:ind w:left="107"/>
              <w:rPr>
                <w:rFonts w:ascii="Times New Roman" w:eastAsia="Times New Roman" w:hAnsi="Times New Roman" w:cs="Times New Roman"/>
                <w:color w:val="000000" w:themeColor="text1"/>
                <w:sz w:val="28"/>
                <w:lang w:eastAsia="ru-RU" w:bidi="ru-RU"/>
              </w:rPr>
            </w:pPr>
            <w:r>
              <w:rPr>
                <w:rFonts w:ascii="Times New Roman" w:eastAsia="Times New Roman" w:hAnsi="Times New Roman" w:cs="Times New Roman"/>
                <w:color w:val="000000" w:themeColor="text1"/>
                <w:sz w:val="28"/>
                <w:lang w:val="ru-RU" w:eastAsia="ru-RU" w:bidi="ru-RU"/>
              </w:rPr>
              <w:t>3</w:t>
            </w:r>
            <w:r w:rsidRPr="001A32A6">
              <w:rPr>
                <w:rFonts w:ascii="Times New Roman" w:eastAsia="Times New Roman" w:hAnsi="Times New Roman" w:cs="Times New Roman"/>
                <w:color w:val="000000" w:themeColor="text1"/>
                <w:sz w:val="28"/>
                <w:lang w:eastAsia="ru-RU" w:bidi="ru-RU"/>
              </w:rPr>
              <w:t>.2.</w:t>
            </w:r>
          </w:p>
        </w:tc>
        <w:tc>
          <w:tcPr>
            <w:tcW w:w="8387" w:type="dxa"/>
          </w:tcPr>
          <w:p w:rsidR="001A32A6" w:rsidRPr="001A32A6" w:rsidRDefault="001A32A6" w:rsidP="001A32A6">
            <w:pPr>
              <w:spacing w:before="38"/>
              <w:ind w:left="108" w:right="93"/>
              <w:jc w:val="both"/>
              <w:rPr>
                <w:rFonts w:ascii="Times New Roman" w:eastAsia="Times New Roman" w:hAnsi="Times New Roman" w:cs="Times New Roman"/>
                <w:color w:val="000000" w:themeColor="text1"/>
                <w:sz w:val="28"/>
                <w:lang w:val="ru-RU" w:eastAsia="ru-RU" w:bidi="ru-RU"/>
              </w:rPr>
            </w:pPr>
            <w:r w:rsidRPr="001A32A6">
              <w:rPr>
                <w:rFonts w:ascii="Times New Roman" w:eastAsia="Times New Roman" w:hAnsi="Times New Roman" w:cs="Times New Roman"/>
                <w:color w:val="000000" w:themeColor="text1"/>
                <w:sz w:val="28"/>
                <w:lang w:val="ru-RU" w:eastAsia="ru-RU" w:bidi="ru-RU"/>
              </w:rPr>
              <w:t xml:space="preserve">Обеспечить своевременное подписание надлежащих документов для приемки выполненных работ и не допускать задержки оплаты выполненных работ. Установить срок оплаты не более чем в течение пятнадцати дней </w:t>
            </w:r>
            <w:proofErr w:type="gramStart"/>
            <w:r w:rsidRPr="001A32A6">
              <w:rPr>
                <w:rFonts w:ascii="Times New Roman" w:eastAsia="Times New Roman" w:hAnsi="Times New Roman" w:cs="Times New Roman"/>
                <w:color w:val="000000" w:themeColor="text1"/>
                <w:sz w:val="28"/>
                <w:lang w:val="ru-RU" w:eastAsia="ru-RU" w:bidi="ru-RU"/>
              </w:rPr>
              <w:t>с даты подписания</w:t>
            </w:r>
            <w:proofErr w:type="gramEnd"/>
            <w:r w:rsidRPr="001A32A6">
              <w:rPr>
                <w:rFonts w:ascii="Times New Roman" w:eastAsia="Times New Roman" w:hAnsi="Times New Roman" w:cs="Times New Roman"/>
                <w:color w:val="000000" w:themeColor="text1"/>
                <w:sz w:val="28"/>
                <w:lang w:val="ru-RU" w:eastAsia="ru-RU" w:bidi="ru-RU"/>
              </w:rPr>
              <w:t xml:space="preserve"> заказчиком документа о приемке (по аналогии с субъектами малого предпринимательства ч. 8 ст. 30  Федерального закона от 05.04.2019г. №44-ФЗ). </w:t>
            </w:r>
          </w:p>
          <w:p w:rsidR="001A32A6" w:rsidRPr="001A32A6" w:rsidRDefault="001A32A6" w:rsidP="001A32A6">
            <w:pPr>
              <w:spacing w:before="38"/>
              <w:ind w:left="108" w:right="93"/>
              <w:jc w:val="both"/>
              <w:rPr>
                <w:rFonts w:ascii="Times New Roman" w:eastAsia="Times New Roman" w:hAnsi="Times New Roman" w:cs="Times New Roman"/>
                <w:i/>
                <w:color w:val="000000" w:themeColor="text1"/>
                <w:sz w:val="28"/>
                <w:u w:val="single"/>
                <w:lang w:val="ru-RU" w:eastAsia="ru-RU" w:bidi="ru-RU"/>
              </w:rPr>
            </w:pPr>
            <w:r w:rsidRPr="001A32A6">
              <w:rPr>
                <w:rFonts w:ascii="Times New Roman" w:eastAsia="Times New Roman" w:hAnsi="Times New Roman" w:cs="Times New Roman"/>
                <w:i/>
                <w:color w:val="000000" w:themeColor="text1"/>
                <w:sz w:val="28"/>
                <w:u w:val="single"/>
                <w:lang w:val="ru-RU" w:eastAsia="ru-RU" w:bidi="ru-RU"/>
              </w:rPr>
              <w:t>(Длительная задержка оплаты выполненных работ по государственным и муниципальным контрактам  негативно сказывается на деятельности организаций строительной отрасли).</w:t>
            </w:r>
          </w:p>
        </w:tc>
        <w:tc>
          <w:tcPr>
            <w:tcW w:w="6605" w:type="dxa"/>
          </w:tcPr>
          <w:p w:rsidR="00D617A7" w:rsidRDefault="001A32A6" w:rsidP="001A32A6">
            <w:pPr>
              <w:spacing w:before="38"/>
              <w:ind w:left="108" w:right="114"/>
              <w:rPr>
                <w:rFonts w:ascii="Times New Roman" w:eastAsia="Times New Roman" w:hAnsi="Times New Roman" w:cs="Times New Roman"/>
                <w:color w:val="000000" w:themeColor="text1"/>
                <w:sz w:val="28"/>
                <w:lang w:val="ru-RU" w:eastAsia="ru-RU" w:bidi="ru-RU"/>
              </w:rPr>
            </w:pPr>
            <w:r w:rsidRPr="001A32A6">
              <w:rPr>
                <w:rFonts w:ascii="Times New Roman" w:eastAsia="Times New Roman" w:hAnsi="Times New Roman" w:cs="Times New Roman"/>
                <w:color w:val="000000" w:themeColor="text1"/>
                <w:sz w:val="28"/>
                <w:lang w:val="ru-RU" w:eastAsia="ru-RU" w:bidi="ru-RU"/>
              </w:rPr>
              <w:t>Федеральный закон</w:t>
            </w:r>
          </w:p>
          <w:p w:rsidR="001A32A6" w:rsidRPr="001A32A6" w:rsidRDefault="001A32A6" w:rsidP="001A32A6">
            <w:pPr>
              <w:spacing w:before="38"/>
              <w:ind w:left="108" w:right="114"/>
              <w:rPr>
                <w:rFonts w:ascii="Times New Roman" w:eastAsia="Times New Roman" w:hAnsi="Times New Roman" w:cs="Times New Roman"/>
                <w:color w:val="000000" w:themeColor="text1"/>
                <w:sz w:val="28"/>
                <w:lang w:val="ru-RU" w:eastAsia="ru-RU" w:bidi="ru-RU"/>
              </w:rPr>
            </w:pPr>
            <w:r w:rsidRPr="001A32A6">
              <w:rPr>
                <w:rFonts w:ascii="Times New Roman" w:eastAsia="Times New Roman" w:hAnsi="Times New Roman" w:cs="Times New Roman"/>
                <w:color w:val="000000" w:themeColor="text1"/>
                <w:sz w:val="28"/>
                <w:lang w:val="ru-RU" w:eastAsia="ru-RU" w:bidi="ru-RU"/>
              </w:rPr>
              <w:t xml:space="preserve"> Минэкономразвития России</w:t>
            </w:r>
          </w:p>
          <w:p w:rsidR="00D617A7" w:rsidRDefault="001A32A6" w:rsidP="001A32A6">
            <w:pPr>
              <w:spacing w:before="38"/>
              <w:ind w:left="108" w:right="114"/>
              <w:rPr>
                <w:rFonts w:ascii="Times New Roman" w:eastAsia="Times New Roman" w:hAnsi="Times New Roman" w:cs="Times New Roman"/>
                <w:color w:val="000000" w:themeColor="text1"/>
                <w:sz w:val="28"/>
                <w:lang w:val="ru-RU" w:eastAsia="ru-RU" w:bidi="ru-RU"/>
              </w:rPr>
            </w:pPr>
            <w:r w:rsidRPr="001A32A6">
              <w:rPr>
                <w:rFonts w:ascii="Times New Roman" w:eastAsia="Times New Roman" w:hAnsi="Times New Roman" w:cs="Times New Roman"/>
                <w:color w:val="000000" w:themeColor="text1"/>
                <w:sz w:val="28"/>
                <w:lang w:val="ru-RU" w:eastAsia="ru-RU" w:bidi="ru-RU"/>
              </w:rPr>
              <w:t>Минфин России</w:t>
            </w:r>
          </w:p>
          <w:p w:rsidR="001A32A6" w:rsidRPr="001A32A6" w:rsidRDefault="001A32A6" w:rsidP="001A32A6">
            <w:pPr>
              <w:spacing w:before="38"/>
              <w:ind w:left="108" w:right="114"/>
              <w:rPr>
                <w:rFonts w:ascii="Times New Roman" w:eastAsia="Times New Roman" w:hAnsi="Times New Roman" w:cs="Times New Roman"/>
                <w:color w:val="000000" w:themeColor="text1"/>
                <w:sz w:val="28"/>
                <w:lang w:val="ru-RU" w:eastAsia="ru-RU" w:bidi="ru-RU"/>
              </w:rPr>
            </w:pPr>
            <w:r w:rsidRPr="001A32A6">
              <w:rPr>
                <w:rFonts w:ascii="Times New Roman" w:eastAsia="Times New Roman" w:hAnsi="Times New Roman" w:cs="Times New Roman"/>
                <w:color w:val="000000" w:themeColor="text1"/>
                <w:sz w:val="28"/>
                <w:lang w:val="ru-RU" w:eastAsia="ru-RU" w:bidi="ru-RU"/>
              </w:rPr>
              <w:t xml:space="preserve"> Минстрой России</w:t>
            </w:r>
          </w:p>
          <w:p w:rsidR="001A32A6" w:rsidRPr="001A32A6" w:rsidRDefault="001A32A6" w:rsidP="001A32A6">
            <w:pPr>
              <w:spacing w:before="38"/>
              <w:ind w:left="108" w:right="114"/>
              <w:rPr>
                <w:rFonts w:ascii="Times New Roman" w:eastAsia="Times New Roman" w:hAnsi="Times New Roman" w:cs="Times New Roman"/>
                <w:color w:val="000000" w:themeColor="text1"/>
                <w:sz w:val="28"/>
                <w:lang w:eastAsia="ru-RU" w:bidi="ru-RU"/>
              </w:rPr>
            </w:pPr>
            <w:r w:rsidRPr="001A32A6">
              <w:rPr>
                <w:rFonts w:ascii="Times New Roman" w:eastAsia="Times New Roman" w:hAnsi="Times New Roman" w:cs="Times New Roman"/>
                <w:color w:val="000000" w:themeColor="text1"/>
                <w:sz w:val="28"/>
                <w:lang w:eastAsia="ru-RU" w:bidi="ru-RU"/>
              </w:rPr>
              <w:t xml:space="preserve">ФАС </w:t>
            </w:r>
            <w:proofErr w:type="spellStart"/>
            <w:r w:rsidRPr="001A32A6">
              <w:rPr>
                <w:rFonts w:ascii="Times New Roman" w:eastAsia="Times New Roman" w:hAnsi="Times New Roman" w:cs="Times New Roman"/>
                <w:color w:val="000000" w:themeColor="text1"/>
                <w:sz w:val="28"/>
                <w:lang w:eastAsia="ru-RU" w:bidi="ru-RU"/>
              </w:rPr>
              <w:t>России</w:t>
            </w:r>
            <w:proofErr w:type="spellEnd"/>
          </w:p>
        </w:tc>
        <w:tc>
          <w:tcPr>
            <w:tcW w:w="112" w:type="dxa"/>
          </w:tcPr>
          <w:p w:rsidR="001A32A6" w:rsidRPr="001A32A6" w:rsidRDefault="001A32A6" w:rsidP="001A32A6">
            <w:pPr>
              <w:spacing w:before="38"/>
              <w:ind w:left="105" w:right="127"/>
              <w:rPr>
                <w:rFonts w:ascii="Times New Roman" w:eastAsia="Times New Roman" w:hAnsi="Times New Roman" w:cs="Times New Roman"/>
                <w:color w:val="000000" w:themeColor="text1"/>
                <w:sz w:val="28"/>
                <w:lang w:eastAsia="ru-RU" w:bidi="ru-RU"/>
              </w:rPr>
            </w:pPr>
          </w:p>
        </w:tc>
      </w:tr>
    </w:tbl>
    <w:p w:rsidR="001A32A6" w:rsidRPr="001A32A6" w:rsidRDefault="001A32A6" w:rsidP="001A32A6">
      <w:pPr>
        <w:widowControl w:val="0"/>
        <w:autoSpaceDE w:val="0"/>
        <w:autoSpaceDN w:val="0"/>
        <w:spacing w:after="0" w:line="240" w:lineRule="auto"/>
        <w:rPr>
          <w:rFonts w:ascii="Times New Roman" w:eastAsia="Times New Roman" w:hAnsi="Times New Roman" w:cs="Times New Roman"/>
          <w:color w:val="000000" w:themeColor="text1"/>
          <w:lang w:eastAsia="ru-RU" w:bidi="ru-RU"/>
        </w:rPr>
      </w:pPr>
    </w:p>
    <w:p w:rsidR="0015377A" w:rsidRPr="001A32A6" w:rsidRDefault="0015377A">
      <w:pPr>
        <w:rPr>
          <w:color w:val="000000" w:themeColor="text1"/>
        </w:rPr>
      </w:pPr>
    </w:p>
    <w:sectPr w:rsidR="0015377A" w:rsidRPr="001A32A6" w:rsidSect="00BF7128">
      <w:headerReference w:type="default" r:id="rId7"/>
      <w:pgSz w:w="16840" w:h="11910" w:orient="landscape"/>
      <w:pgMar w:top="960" w:right="460" w:bottom="280" w:left="42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06" w:rsidRDefault="00A45506">
      <w:pPr>
        <w:spacing w:after="0" w:line="240" w:lineRule="auto"/>
      </w:pPr>
      <w:r>
        <w:separator/>
      </w:r>
    </w:p>
  </w:endnote>
  <w:endnote w:type="continuationSeparator" w:id="0">
    <w:p w:rsidR="00A45506" w:rsidRDefault="00A4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06" w:rsidRDefault="00A45506">
      <w:pPr>
        <w:spacing w:after="0" w:line="240" w:lineRule="auto"/>
      </w:pPr>
      <w:r>
        <w:separator/>
      </w:r>
    </w:p>
  </w:footnote>
  <w:footnote w:type="continuationSeparator" w:id="0">
    <w:p w:rsidR="00A45506" w:rsidRDefault="00A45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28" w:rsidRDefault="005376BC">
    <w:pPr>
      <w:pStyle w:val="a3"/>
      <w:spacing w:line="14" w:lineRule="auto"/>
      <w:rPr>
        <w:b/>
        <w:sz w:val="20"/>
      </w:rPr>
    </w:pPr>
    <w:r>
      <w:rPr>
        <w:noProof/>
        <w:lang w:eastAsia="ru-RU"/>
      </w:rPr>
      <mc:AlternateContent>
        <mc:Choice Requires="wps">
          <w:drawing>
            <wp:anchor distT="0" distB="0" distL="114300" distR="114300" simplePos="0" relativeHeight="251659264" behindDoc="1" locked="0" layoutInCell="1" allowOverlap="1" wp14:anchorId="1B8C002B" wp14:editId="64EF2997">
              <wp:simplePos x="0" y="0"/>
              <wp:positionH relativeFrom="page">
                <wp:posOffset>5286375</wp:posOffset>
              </wp:positionH>
              <wp:positionV relativeFrom="page">
                <wp:posOffset>464185</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28" w:rsidRDefault="005376BC">
                          <w:pPr>
                            <w:spacing w:line="245" w:lineRule="exact"/>
                            <w:ind w:left="40"/>
                            <w:rPr>
                              <w:rFonts w:ascii="Calibri"/>
                            </w:rPr>
                          </w:pPr>
                          <w:r>
                            <w:fldChar w:fldCharType="begin"/>
                          </w:r>
                          <w:r>
                            <w:rPr>
                              <w:rFonts w:ascii="Calibri"/>
                            </w:rPr>
                            <w:instrText xml:space="preserve"> PAGE </w:instrText>
                          </w:r>
                          <w:r>
                            <w:fldChar w:fldCharType="separate"/>
                          </w:r>
                          <w:r w:rsidR="00F352E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25pt;margin-top:36.5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" filled="f" stroked="f">
              <v:textbox inset="0,0,0,0">
                <w:txbxContent>
                  <w:p w:rsidR="00BF7128" w:rsidRDefault="005376BC">
                    <w:pPr>
                      <w:spacing w:line="245" w:lineRule="exact"/>
                      <w:ind w:left="40"/>
                      <w:rPr>
                        <w:rFonts w:ascii="Calibri"/>
                      </w:rPr>
                    </w:pPr>
                    <w:r>
                      <w:fldChar w:fldCharType="begin"/>
                    </w:r>
                    <w:r>
                      <w:rPr>
                        <w:rFonts w:ascii="Calibri"/>
                      </w:rPr>
                      <w:instrText xml:space="preserve"> PAGE </w:instrText>
                    </w:r>
                    <w:r>
                      <w:fldChar w:fldCharType="separate"/>
                    </w:r>
                    <w:r w:rsidR="00F352E1">
                      <w:rPr>
                        <w:rFonts w:ascii="Calibri"/>
                        <w:noProof/>
                      </w:rPr>
                      <w:t>1</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6E"/>
    <w:rsid w:val="0015377A"/>
    <w:rsid w:val="001A32A6"/>
    <w:rsid w:val="003D4C75"/>
    <w:rsid w:val="00536031"/>
    <w:rsid w:val="005376BC"/>
    <w:rsid w:val="00903E3E"/>
    <w:rsid w:val="009C2AC1"/>
    <w:rsid w:val="00A45506"/>
    <w:rsid w:val="00BE006E"/>
    <w:rsid w:val="00D617A7"/>
    <w:rsid w:val="00F35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A32A6"/>
    <w:pPr>
      <w:spacing w:after="120"/>
    </w:pPr>
  </w:style>
  <w:style w:type="character" w:customStyle="1" w:styleId="a4">
    <w:name w:val="Основной текст Знак"/>
    <w:basedOn w:val="a0"/>
    <w:link w:val="a3"/>
    <w:uiPriority w:val="99"/>
    <w:semiHidden/>
    <w:rsid w:val="001A32A6"/>
  </w:style>
  <w:style w:type="table" w:customStyle="1" w:styleId="TableNormal">
    <w:name w:val="Table Normal"/>
    <w:uiPriority w:val="2"/>
    <w:semiHidden/>
    <w:unhideWhenUsed/>
    <w:qFormat/>
    <w:rsid w:val="001A32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A32A6"/>
    <w:pPr>
      <w:spacing w:after="120"/>
    </w:pPr>
  </w:style>
  <w:style w:type="character" w:customStyle="1" w:styleId="a4">
    <w:name w:val="Основной текст Знак"/>
    <w:basedOn w:val="a0"/>
    <w:link w:val="a3"/>
    <w:uiPriority w:val="99"/>
    <w:semiHidden/>
    <w:rsid w:val="001A32A6"/>
  </w:style>
  <w:style w:type="table" w:customStyle="1" w:styleId="TableNormal">
    <w:name w:val="Table Normal"/>
    <w:uiPriority w:val="2"/>
    <w:semiHidden/>
    <w:unhideWhenUsed/>
    <w:qFormat/>
    <w:rsid w:val="001A32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6702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НП "СРО "СДСКО"</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Умеренкова</dc:creator>
  <cp:keywords/>
  <dc:description/>
  <cp:lastModifiedBy>i_minakova</cp:lastModifiedBy>
  <cp:revision>3</cp:revision>
  <dcterms:created xsi:type="dcterms:W3CDTF">2020-04-15T09:47:00Z</dcterms:created>
  <dcterms:modified xsi:type="dcterms:W3CDTF">2020-04-15T13:32:00Z</dcterms:modified>
</cp:coreProperties>
</file>